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EE889" w14:textId="39524AFF" w:rsidR="00015B9A" w:rsidRPr="00680757" w:rsidRDefault="00015B9A" w:rsidP="002C4F9E">
      <w:pPr>
        <w:jc w:val="center"/>
        <w:rPr>
          <w:b/>
          <w:sz w:val="20"/>
          <w:szCs w:val="20"/>
        </w:rPr>
      </w:pPr>
      <w:bookmarkStart w:id="0" w:name="_Hlk141968655"/>
      <w:r w:rsidRPr="00680757">
        <w:rPr>
          <w:b/>
          <w:sz w:val="20"/>
          <w:szCs w:val="20"/>
        </w:rPr>
        <w:t>INFORMACIJA APIE INDĖLIŲ DRAUDIMĄ</w:t>
      </w:r>
    </w:p>
    <w:tbl>
      <w:tblPr>
        <w:tblpPr w:leftFromText="180" w:rightFromText="180" w:vertAnchor="text" w:horzAnchor="page" w:tblpX="799" w:tblpY="222"/>
        <w:tblW w:w="5000" w:type="pct"/>
        <w:tblCellMar>
          <w:left w:w="0" w:type="dxa"/>
          <w:right w:w="0" w:type="dxa"/>
        </w:tblCellMar>
        <w:tblLook w:val="04A0" w:firstRow="1" w:lastRow="0" w:firstColumn="1" w:lastColumn="0" w:noHBand="0" w:noVBand="1"/>
      </w:tblPr>
      <w:tblGrid>
        <w:gridCol w:w="3524"/>
        <w:gridCol w:w="7212"/>
      </w:tblGrid>
      <w:tr w:rsidR="00015B9A" w:rsidRPr="00680757" w14:paraId="0F7E040A" w14:textId="77777777" w:rsidTr="00680757">
        <w:trPr>
          <w:trHeight w:val="547"/>
        </w:trPr>
        <w:tc>
          <w:tcPr>
            <w:tcW w:w="5000" w:type="pct"/>
            <w:gridSpan w:val="2"/>
            <w:tcBorders>
              <w:top w:val="single" w:sz="8" w:space="0" w:color="auto"/>
              <w:left w:val="single" w:sz="12" w:space="0" w:color="auto"/>
              <w:bottom w:val="single" w:sz="8" w:space="0" w:color="auto"/>
              <w:right w:val="single" w:sz="12" w:space="0" w:color="auto"/>
            </w:tcBorders>
            <w:tcMar>
              <w:top w:w="0" w:type="dxa"/>
              <w:left w:w="108" w:type="dxa"/>
              <w:bottom w:w="0" w:type="dxa"/>
              <w:right w:w="108" w:type="dxa"/>
            </w:tcMar>
            <w:vAlign w:val="center"/>
            <w:hideMark/>
          </w:tcPr>
          <w:p w14:paraId="0F7B7D2E" w14:textId="77777777" w:rsidR="00015B9A" w:rsidRPr="00680757" w:rsidRDefault="00015B9A" w:rsidP="00015B9A">
            <w:pPr>
              <w:jc w:val="center"/>
              <w:rPr>
                <w:sz w:val="20"/>
                <w:szCs w:val="20"/>
                <w:lang w:val="lt-LT" w:eastAsia="lt-LT"/>
              </w:rPr>
            </w:pPr>
            <w:r w:rsidRPr="00680757">
              <w:rPr>
                <w:b/>
                <w:bCs/>
                <w:sz w:val="20"/>
                <w:szCs w:val="20"/>
                <w:lang w:val="lt-LT" w:eastAsia="lt-LT"/>
              </w:rPr>
              <w:t>PAGRINDINĖ INFORMACIJA APIE ATVEJUS, KAI INDĖLIAI NĖRA DRAUDŽIAMI IR KAI YRA TAIKOMI INDĖLIŲ DRAUDIMO IŠMOKŲ MOKĖJIMO APRIBOJIMAI</w:t>
            </w:r>
          </w:p>
        </w:tc>
      </w:tr>
      <w:tr w:rsidR="00680757" w:rsidRPr="00680757" w14:paraId="4C74A951" w14:textId="77777777" w:rsidTr="002C4F9E">
        <w:trPr>
          <w:trHeight w:val="525"/>
        </w:trPr>
        <w:tc>
          <w:tcPr>
            <w:tcW w:w="1641"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hideMark/>
          </w:tcPr>
          <w:p w14:paraId="706D9B31" w14:textId="3D4C5CF7" w:rsidR="00015B9A" w:rsidRPr="00680757" w:rsidRDefault="002C4F9E" w:rsidP="00015B9A">
            <w:pPr>
              <w:ind w:right="-1"/>
              <w:rPr>
                <w:sz w:val="20"/>
                <w:szCs w:val="20"/>
                <w:lang w:val="lt-LT" w:eastAsia="lt-LT"/>
              </w:rPr>
            </w:pPr>
            <w:r w:rsidRPr="002C4F9E">
              <w:rPr>
                <w:i/>
                <w:iCs/>
                <w:sz w:val="20"/>
                <w:szCs w:val="20"/>
                <w:lang w:val="lt-LT" w:eastAsia="lt-LT"/>
              </w:rPr>
              <w:t>Šeimos kredito unijoje</w:t>
            </w:r>
            <w:r>
              <w:rPr>
                <w:sz w:val="20"/>
                <w:szCs w:val="20"/>
                <w:lang w:val="lt-LT" w:eastAsia="lt-LT"/>
              </w:rPr>
              <w:t xml:space="preserve"> </w:t>
            </w:r>
            <w:r w:rsidR="00015B9A" w:rsidRPr="00680757">
              <w:rPr>
                <w:sz w:val="20"/>
                <w:szCs w:val="20"/>
                <w:lang w:val="lt-LT" w:eastAsia="lt-LT"/>
              </w:rPr>
              <w:t>laikomi indėliai yra draudžiami</w:t>
            </w:r>
          </w:p>
        </w:tc>
        <w:tc>
          <w:tcPr>
            <w:tcW w:w="3359"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hideMark/>
          </w:tcPr>
          <w:p w14:paraId="37E7A368" w14:textId="77777777" w:rsidR="00015B9A" w:rsidRPr="00680757" w:rsidRDefault="00015B9A" w:rsidP="002C4F9E">
            <w:pPr>
              <w:ind w:right="-1"/>
              <w:rPr>
                <w:sz w:val="20"/>
                <w:szCs w:val="20"/>
                <w:lang w:val="lt-LT" w:eastAsia="lt-LT"/>
              </w:rPr>
            </w:pPr>
            <w:r w:rsidRPr="00680757">
              <w:rPr>
                <w:rFonts w:eastAsia="BatangChe"/>
                <w:bCs/>
                <w:iCs/>
                <w:sz w:val="20"/>
                <w:szCs w:val="20"/>
                <w:lang w:val="lt-LT" w:eastAsia="lt-LT"/>
              </w:rPr>
              <w:t>viešoji įstaiga „Indėlių ir investicijų draudimas“</w:t>
            </w:r>
          </w:p>
        </w:tc>
      </w:tr>
      <w:tr w:rsidR="00680757" w:rsidRPr="00680757" w14:paraId="1C3917D1" w14:textId="77777777" w:rsidTr="00680757">
        <w:trPr>
          <w:trHeight w:val="5496"/>
        </w:trPr>
        <w:tc>
          <w:tcPr>
            <w:tcW w:w="1641"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hideMark/>
          </w:tcPr>
          <w:p w14:paraId="32906EC7" w14:textId="77777777" w:rsidR="00015B9A" w:rsidRPr="00680757" w:rsidRDefault="00015B9A" w:rsidP="00015B9A">
            <w:pPr>
              <w:ind w:right="-1"/>
              <w:jc w:val="center"/>
              <w:rPr>
                <w:sz w:val="20"/>
                <w:szCs w:val="20"/>
                <w:lang w:val="lt-LT" w:eastAsia="lt-LT"/>
              </w:rPr>
            </w:pPr>
            <w:r w:rsidRPr="00680757">
              <w:rPr>
                <w:sz w:val="20"/>
                <w:szCs w:val="20"/>
                <w:lang w:val="lt-LT" w:eastAsia="lt-LT"/>
              </w:rPr>
              <w:t>Atvejai, kai indėliai nėra draudžiami</w:t>
            </w:r>
          </w:p>
        </w:tc>
        <w:tc>
          <w:tcPr>
            <w:tcW w:w="3359"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69F6A6C6" w14:textId="77777777" w:rsidR="00015B9A" w:rsidRPr="00680757" w:rsidRDefault="00015B9A" w:rsidP="00015B9A">
            <w:pPr>
              <w:ind w:right="-1"/>
              <w:jc w:val="both"/>
              <w:rPr>
                <w:sz w:val="20"/>
                <w:szCs w:val="20"/>
                <w:lang w:val="lt-LT" w:eastAsia="lt-LT"/>
              </w:rPr>
            </w:pPr>
            <w:r w:rsidRPr="00680757">
              <w:rPr>
                <w:bCs/>
                <w:sz w:val="20"/>
                <w:szCs w:val="20"/>
              </w:rPr>
              <w:t xml:space="preserve">Informuojama, kad pagal </w:t>
            </w:r>
            <w:r w:rsidRPr="00680757">
              <w:rPr>
                <w:bCs/>
                <w:sz w:val="20"/>
                <w:szCs w:val="20"/>
                <w:lang w:val="lt-LT"/>
              </w:rPr>
              <w:t xml:space="preserve">Lietuvos Respublikos indėlių ir įsipareigojimų investuotojams draudimo įstatymo </w:t>
            </w:r>
            <w:r w:rsidRPr="00680757">
              <w:rPr>
                <w:bCs/>
                <w:sz w:val="20"/>
                <w:szCs w:val="20"/>
                <w:lang w:val="en-US"/>
              </w:rPr>
              <w:t xml:space="preserve">3 </w:t>
            </w:r>
            <w:r w:rsidRPr="00680757">
              <w:rPr>
                <w:bCs/>
                <w:sz w:val="20"/>
                <w:szCs w:val="20"/>
                <w:lang w:val="lt-LT"/>
              </w:rPr>
              <w:t>straipsnio</w:t>
            </w:r>
            <w:r w:rsidRPr="00680757">
              <w:rPr>
                <w:bCs/>
                <w:sz w:val="20"/>
                <w:szCs w:val="20"/>
                <w:lang w:val="en-US"/>
              </w:rPr>
              <w:t xml:space="preserve"> 2 dal</w:t>
            </w:r>
            <w:r w:rsidRPr="00680757">
              <w:rPr>
                <w:bCs/>
                <w:sz w:val="20"/>
                <w:szCs w:val="20"/>
                <w:lang w:val="lt-LT"/>
              </w:rPr>
              <w:t xml:space="preserve">į </w:t>
            </w:r>
            <w:r w:rsidRPr="00680757">
              <w:rPr>
                <w:bCs/>
                <w:sz w:val="20"/>
                <w:szCs w:val="20"/>
              </w:rPr>
              <w:t>indėlių draudimo objektas nėra</w:t>
            </w:r>
            <w:r w:rsidRPr="00680757">
              <w:rPr>
                <w:b/>
                <w:sz w:val="20"/>
                <w:szCs w:val="20"/>
              </w:rPr>
              <w:t xml:space="preserve"> </w:t>
            </w:r>
            <w:r w:rsidRPr="00680757">
              <w:rPr>
                <w:sz w:val="20"/>
                <w:szCs w:val="20"/>
                <w:lang w:val="lt-LT"/>
              </w:rPr>
              <w:t>(nurodytų subjektų indėliai nėra indėlių draudimo objektas, neatsižvelgiant į tai, pagal kurios valstybės teisės aktus šie subjektai yra įsteigti)</w:t>
            </w:r>
            <w:r w:rsidRPr="00680757">
              <w:rPr>
                <w:b/>
                <w:sz w:val="20"/>
                <w:szCs w:val="20"/>
              </w:rPr>
              <w:t>:</w:t>
            </w:r>
          </w:p>
          <w:p w14:paraId="3668FC02" w14:textId="77777777" w:rsidR="00015B9A" w:rsidRPr="00680757" w:rsidRDefault="00015B9A" w:rsidP="00015B9A">
            <w:pPr>
              <w:ind w:right="-1"/>
              <w:jc w:val="both"/>
              <w:rPr>
                <w:sz w:val="20"/>
                <w:szCs w:val="20"/>
                <w:lang w:val="lt-LT" w:eastAsia="lt-LT"/>
              </w:rPr>
            </w:pPr>
            <w:r w:rsidRPr="00680757">
              <w:rPr>
                <w:sz w:val="20"/>
                <w:szCs w:val="20"/>
                <w:lang w:val="lt-LT" w:eastAsia="lt-LT"/>
              </w:rPr>
              <w:t>1.1. kitų kredito įstaigų indėliai, laikomi savo sąskaita ir savo vardu;</w:t>
            </w:r>
          </w:p>
          <w:p w14:paraId="749898CA" w14:textId="17D538B6" w:rsidR="00015B9A" w:rsidRPr="00680757" w:rsidRDefault="00015B9A" w:rsidP="00015B9A">
            <w:pPr>
              <w:ind w:right="-1"/>
              <w:jc w:val="both"/>
              <w:rPr>
                <w:sz w:val="20"/>
                <w:szCs w:val="20"/>
                <w:lang w:val="lt-LT" w:eastAsia="lt-LT"/>
              </w:rPr>
            </w:pPr>
            <w:r w:rsidRPr="00680757">
              <w:rPr>
                <w:sz w:val="20"/>
                <w:szCs w:val="20"/>
                <w:lang w:val="lt-LT" w:eastAsia="lt-LT"/>
              </w:rPr>
              <w:t>1.2.</w:t>
            </w:r>
            <w:r w:rsidR="00C40CCF">
              <w:rPr>
                <w:sz w:val="20"/>
                <w:szCs w:val="20"/>
                <w:lang w:val="lt-LT" w:eastAsia="lt-LT"/>
              </w:rPr>
              <w:t xml:space="preserve"> </w:t>
            </w:r>
            <w:r w:rsidR="00C40CCF" w:rsidRPr="00663EAC">
              <w:rPr>
                <w:rFonts w:eastAsia="SimSun"/>
                <w:bCs/>
                <w:sz w:val="20"/>
                <w:szCs w:val="20"/>
                <w:lang w:eastAsia="lt-LT"/>
              </w:rPr>
              <w:t>kredito įstaigos nuosavos lėšos;</w:t>
            </w:r>
          </w:p>
          <w:p w14:paraId="1D2A62D7" w14:textId="77777777" w:rsidR="00015B9A" w:rsidRPr="00680757" w:rsidRDefault="00015B9A" w:rsidP="00015B9A">
            <w:pPr>
              <w:ind w:right="-1"/>
              <w:jc w:val="both"/>
              <w:rPr>
                <w:sz w:val="20"/>
                <w:szCs w:val="20"/>
                <w:lang w:val="lt-LT" w:eastAsia="lt-LT"/>
              </w:rPr>
            </w:pPr>
            <w:r w:rsidRPr="00680757">
              <w:rPr>
                <w:sz w:val="20"/>
                <w:szCs w:val="20"/>
                <w:lang w:val="lt-LT" w:eastAsia="lt-LT"/>
              </w:rPr>
              <w:t>1.3. indėliai, dėl kurių priimtas apkaltinamasis nuosprendis baudžiamojoje byloje dėl pinigų plovimo;</w:t>
            </w:r>
          </w:p>
          <w:p w14:paraId="7E1E837B" w14:textId="77777777" w:rsidR="00015B9A" w:rsidRPr="00680757" w:rsidRDefault="00015B9A" w:rsidP="00015B9A">
            <w:pPr>
              <w:ind w:right="-1"/>
              <w:jc w:val="both"/>
              <w:rPr>
                <w:sz w:val="20"/>
                <w:szCs w:val="20"/>
                <w:lang w:val="lt-LT" w:eastAsia="lt-LT"/>
              </w:rPr>
            </w:pPr>
            <w:r w:rsidRPr="00680757">
              <w:rPr>
                <w:sz w:val="20"/>
                <w:szCs w:val="20"/>
                <w:lang w:val="lt-LT" w:eastAsia="lt-LT"/>
              </w:rPr>
              <w:t xml:space="preserve">1.4. finansų įstaigų indėliai; </w:t>
            </w:r>
          </w:p>
          <w:p w14:paraId="73A6FA6B" w14:textId="77777777" w:rsidR="00015B9A" w:rsidRPr="00680757" w:rsidRDefault="00015B9A" w:rsidP="00015B9A">
            <w:pPr>
              <w:ind w:right="-1"/>
              <w:jc w:val="both"/>
              <w:rPr>
                <w:sz w:val="20"/>
                <w:szCs w:val="20"/>
                <w:lang w:val="lt-LT" w:eastAsia="lt-LT"/>
              </w:rPr>
            </w:pPr>
            <w:r w:rsidRPr="00680757">
              <w:rPr>
                <w:sz w:val="20"/>
                <w:szCs w:val="20"/>
                <w:lang w:val="lt-LT" w:eastAsia="lt-LT"/>
              </w:rPr>
              <w:t>1.5. valdymo įmonių indėliai;</w:t>
            </w:r>
          </w:p>
          <w:p w14:paraId="67E1DB12" w14:textId="77777777" w:rsidR="00015B9A" w:rsidRPr="00680757" w:rsidRDefault="00015B9A" w:rsidP="00015B9A">
            <w:pPr>
              <w:ind w:right="-1"/>
              <w:jc w:val="both"/>
              <w:rPr>
                <w:sz w:val="20"/>
                <w:szCs w:val="20"/>
                <w:lang w:val="lt-LT" w:eastAsia="lt-LT"/>
              </w:rPr>
            </w:pPr>
            <w:r w:rsidRPr="00680757">
              <w:rPr>
                <w:sz w:val="20"/>
                <w:szCs w:val="20"/>
                <w:lang w:val="lt-LT" w:eastAsia="lt-LT"/>
              </w:rPr>
              <w:t>1.6. finansų maklerio įmonių indėliai;</w:t>
            </w:r>
          </w:p>
          <w:p w14:paraId="2E571AF0" w14:textId="77777777" w:rsidR="006B7259" w:rsidRDefault="00015B9A" w:rsidP="00015B9A">
            <w:pPr>
              <w:ind w:right="-1"/>
              <w:jc w:val="both"/>
              <w:rPr>
                <w:sz w:val="20"/>
                <w:szCs w:val="20"/>
                <w:lang w:val="lt-LT" w:eastAsia="lt-LT"/>
              </w:rPr>
            </w:pPr>
            <w:r w:rsidRPr="00680757">
              <w:rPr>
                <w:sz w:val="20"/>
                <w:szCs w:val="20"/>
                <w:lang w:val="lt-LT" w:eastAsia="lt-LT"/>
              </w:rPr>
              <w:t>1.7. indėliai, kurių savininkų tapatybė nenustatyta (anoniminėse ir koduotose sąskaitose laikomi indėliai);</w:t>
            </w:r>
          </w:p>
          <w:p w14:paraId="5E9E39A6" w14:textId="11F63B8C" w:rsidR="00015B9A" w:rsidRPr="00680757" w:rsidRDefault="00015B9A" w:rsidP="00015B9A">
            <w:pPr>
              <w:ind w:right="-1"/>
              <w:jc w:val="both"/>
              <w:rPr>
                <w:sz w:val="20"/>
                <w:szCs w:val="20"/>
                <w:lang w:val="lt-LT" w:eastAsia="lt-LT"/>
              </w:rPr>
            </w:pPr>
            <w:r w:rsidRPr="00680757">
              <w:rPr>
                <w:sz w:val="20"/>
                <w:szCs w:val="20"/>
                <w:lang w:val="lt-LT" w:eastAsia="lt-LT"/>
              </w:rPr>
              <w:t>1.8. draudimo įmonių ir perdraudimo įmonių, kitose valstybėse narėse ir trečiosiose valstybėse įsteigtų draudimo įmonių ir perdraudimo įmonių indėliai;</w:t>
            </w:r>
          </w:p>
          <w:p w14:paraId="771675A9" w14:textId="77777777" w:rsidR="00015B9A" w:rsidRPr="00680757" w:rsidRDefault="00015B9A" w:rsidP="00015B9A">
            <w:pPr>
              <w:ind w:right="-1"/>
              <w:jc w:val="both"/>
              <w:rPr>
                <w:sz w:val="20"/>
                <w:szCs w:val="20"/>
                <w:lang w:val="lt-LT" w:eastAsia="lt-LT"/>
              </w:rPr>
            </w:pPr>
            <w:r w:rsidRPr="00680757">
              <w:rPr>
                <w:sz w:val="20"/>
                <w:szCs w:val="20"/>
                <w:lang w:val="lt-LT" w:eastAsia="lt-LT"/>
              </w:rPr>
              <w:t>1.9. kolektyvinio investavimo subjektų indėliai;</w:t>
            </w:r>
          </w:p>
          <w:p w14:paraId="33ACC4DD" w14:textId="77777777" w:rsidR="00015B9A" w:rsidRPr="00680757" w:rsidRDefault="00015B9A" w:rsidP="00015B9A">
            <w:pPr>
              <w:ind w:right="-1"/>
              <w:jc w:val="both"/>
              <w:rPr>
                <w:sz w:val="20"/>
                <w:szCs w:val="20"/>
                <w:lang w:val="lt-LT" w:eastAsia="lt-LT"/>
              </w:rPr>
            </w:pPr>
            <w:r w:rsidRPr="00680757">
              <w:rPr>
                <w:sz w:val="20"/>
                <w:szCs w:val="20"/>
                <w:lang w:val="lt-LT" w:eastAsia="lt-LT"/>
              </w:rPr>
              <w:t>1.10. pensijų fondų indėliai;</w:t>
            </w:r>
          </w:p>
          <w:p w14:paraId="06091E7E" w14:textId="77777777" w:rsidR="00015B9A" w:rsidRPr="00680757" w:rsidRDefault="00015B9A" w:rsidP="00015B9A">
            <w:pPr>
              <w:ind w:right="-1"/>
              <w:jc w:val="both"/>
              <w:rPr>
                <w:sz w:val="20"/>
                <w:szCs w:val="20"/>
                <w:lang w:val="lt-LT" w:eastAsia="lt-LT"/>
              </w:rPr>
            </w:pPr>
            <w:r w:rsidRPr="00680757">
              <w:rPr>
                <w:sz w:val="20"/>
                <w:szCs w:val="20"/>
                <w:lang w:val="lt-LT" w:eastAsia="lt-LT"/>
              </w:rPr>
              <w:t>1.11. valstybės ir savivaldybių institucijų ir įstaigų, kaip jos apibrėžtos Lietuvos Respublikos valstybės tarnybos įstatyme, indėliai, išskyrus tokių institucijų ir įstaigų depozitinėse sąskaitose laikomas kitiems asmenims priklausančias lėšas;</w:t>
            </w:r>
          </w:p>
          <w:p w14:paraId="26E370D6" w14:textId="77777777" w:rsidR="00015B9A" w:rsidRPr="00680757" w:rsidRDefault="00015B9A" w:rsidP="00015B9A">
            <w:pPr>
              <w:ind w:right="-1"/>
              <w:jc w:val="both"/>
              <w:rPr>
                <w:sz w:val="20"/>
                <w:szCs w:val="20"/>
                <w:lang w:val="lt-LT" w:eastAsia="lt-LT"/>
              </w:rPr>
            </w:pPr>
            <w:r w:rsidRPr="00680757">
              <w:rPr>
                <w:sz w:val="20"/>
                <w:szCs w:val="20"/>
                <w:lang w:val="lt-LT" w:eastAsia="lt-LT"/>
              </w:rPr>
              <w:t>1.12. Lietuvos banko indėliai;</w:t>
            </w:r>
          </w:p>
          <w:p w14:paraId="7E6C89E5" w14:textId="77777777" w:rsidR="00015B9A" w:rsidRPr="00680757" w:rsidRDefault="00015B9A" w:rsidP="00015B9A">
            <w:pPr>
              <w:ind w:right="-1"/>
              <w:jc w:val="both"/>
              <w:rPr>
                <w:sz w:val="20"/>
                <w:szCs w:val="20"/>
                <w:lang w:val="lt-LT" w:eastAsia="lt-LT"/>
              </w:rPr>
            </w:pPr>
            <w:r w:rsidRPr="00680757">
              <w:rPr>
                <w:sz w:val="20"/>
                <w:szCs w:val="20"/>
                <w:lang w:val="lt-LT" w:eastAsia="lt-LT"/>
              </w:rPr>
              <w:t>1.13. paties indėlių draudimo sistemos dalyvio išleisti skolos vertybiniai popieriai ir įsipareigojimai, susiję su jo akceptais ir paprastaisiais vekseliais;</w:t>
            </w:r>
          </w:p>
          <w:p w14:paraId="24F31353" w14:textId="77777777" w:rsidR="00015B9A" w:rsidRPr="00680757" w:rsidRDefault="00015B9A" w:rsidP="00015B9A">
            <w:pPr>
              <w:ind w:right="-1"/>
              <w:jc w:val="both"/>
              <w:rPr>
                <w:sz w:val="20"/>
                <w:szCs w:val="20"/>
                <w:lang w:val="lt-LT" w:eastAsia="lt-LT"/>
              </w:rPr>
            </w:pPr>
            <w:r w:rsidRPr="00680757">
              <w:rPr>
                <w:sz w:val="20"/>
                <w:szCs w:val="20"/>
                <w:lang w:val="lt-LT" w:eastAsia="lt-LT"/>
              </w:rPr>
              <w:t>1.14. elektroniniai pinigai ir iš elektroninių pinigų turėtojų mainams į elektroninius pinigus gautos lėšos.</w:t>
            </w:r>
          </w:p>
        </w:tc>
      </w:tr>
      <w:tr w:rsidR="00680757" w:rsidRPr="00680757" w14:paraId="35F0FD27" w14:textId="77777777" w:rsidTr="002C4F9E">
        <w:trPr>
          <w:trHeight w:val="2793"/>
        </w:trPr>
        <w:tc>
          <w:tcPr>
            <w:tcW w:w="1641"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hideMark/>
          </w:tcPr>
          <w:p w14:paraId="55537D66" w14:textId="77777777" w:rsidR="00015B9A" w:rsidRPr="00680757" w:rsidRDefault="00015B9A" w:rsidP="00015B9A">
            <w:pPr>
              <w:tabs>
                <w:tab w:val="left" w:pos="993"/>
              </w:tabs>
              <w:jc w:val="center"/>
              <w:rPr>
                <w:rFonts w:eastAsia="Arial Unicode MS"/>
                <w:bCs/>
                <w:sz w:val="20"/>
                <w:szCs w:val="20"/>
              </w:rPr>
            </w:pPr>
            <w:r w:rsidRPr="00680757">
              <w:rPr>
                <w:rFonts w:eastAsia="Arial Unicode MS"/>
                <w:bCs/>
                <w:sz w:val="20"/>
                <w:szCs w:val="20"/>
              </w:rPr>
              <w:t>Atvejai, kai yra taikomi indėlių draudimo išmokų mokėjimo apribojimai</w:t>
            </w:r>
          </w:p>
        </w:tc>
        <w:tc>
          <w:tcPr>
            <w:tcW w:w="3359"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7EFE8F0A" w14:textId="77777777" w:rsidR="00015B9A" w:rsidRPr="00680757" w:rsidRDefault="00015B9A" w:rsidP="00015B9A">
            <w:pPr>
              <w:ind w:right="-1"/>
              <w:jc w:val="both"/>
              <w:rPr>
                <w:sz w:val="20"/>
                <w:szCs w:val="20"/>
                <w:lang w:eastAsia="lt-LT"/>
              </w:rPr>
            </w:pPr>
            <w:r w:rsidRPr="00680757">
              <w:rPr>
                <w:sz w:val="20"/>
                <w:szCs w:val="20"/>
                <w:lang w:eastAsia="lt-LT"/>
              </w:rPr>
              <w:t>Informuojama, kad pagal Indėlių ir įsipareigojimų investuotojams draudimo įstatymo 8 straipsnį indėlių draudimo išmokos nemokamos:</w:t>
            </w:r>
          </w:p>
          <w:p w14:paraId="06C25C6F" w14:textId="77777777" w:rsidR="00015B9A" w:rsidRPr="00680757" w:rsidRDefault="00015B9A" w:rsidP="00015B9A">
            <w:pPr>
              <w:ind w:right="-1"/>
              <w:jc w:val="both"/>
              <w:rPr>
                <w:sz w:val="20"/>
                <w:szCs w:val="20"/>
                <w:lang w:eastAsia="lt-LT"/>
              </w:rPr>
            </w:pPr>
            <w:r w:rsidRPr="00680757">
              <w:rPr>
                <w:sz w:val="20"/>
                <w:szCs w:val="20"/>
                <w:lang w:eastAsia="lt-LT"/>
              </w:rPr>
              <w:t xml:space="preserve">2.1. už indėlius, lėšas, pinigus, vertybinius popierius ir įsipareigojimus, kurie pagal Indėlių ir įsipareigojimų investuotojams draudimo įstatymo </w:t>
            </w:r>
            <w:r w:rsidRPr="00680757">
              <w:rPr>
                <w:sz w:val="20"/>
                <w:szCs w:val="20"/>
                <w:lang w:val="en-US" w:eastAsia="lt-LT"/>
              </w:rPr>
              <w:t xml:space="preserve">3 </w:t>
            </w:r>
            <w:r w:rsidRPr="00680757">
              <w:rPr>
                <w:sz w:val="20"/>
                <w:szCs w:val="20"/>
                <w:lang w:val="lt-LT" w:eastAsia="lt-LT"/>
              </w:rPr>
              <w:t xml:space="preserve">straipsnio </w:t>
            </w:r>
            <w:r w:rsidRPr="00680757">
              <w:rPr>
                <w:sz w:val="20"/>
                <w:szCs w:val="20"/>
                <w:lang w:val="en-US" w:eastAsia="lt-LT"/>
              </w:rPr>
              <w:t>2 dal</w:t>
            </w:r>
            <w:r w:rsidRPr="00680757">
              <w:rPr>
                <w:sz w:val="20"/>
                <w:szCs w:val="20"/>
                <w:lang w:val="lt-LT" w:eastAsia="lt-LT"/>
              </w:rPr>
              <w:t xml:space="preserve">į </w:t>
            </w:r>
            <w:r w:rsidRPr="00680757">
              <w:rPr>
                <w:sz w:val="20"/>
                <w:szCs w:val="20"/>
                <w:lang w:eastAsia="lt-LT"/>
              </w:rPr>
              <w:t>nėra indėlių draudimo objektas;</w:t>
            </w:r>
          </w:p>
          <w:p w14:paraId="6960D415" w14:textId="77777777" w:rsidR="00015B9A" w:rsidRPr="00680757" w:rsidRDefault="00015B9A" w:rsidP="00015B9A">
            <w:pPr>
              <w:ind w:right="-1"/>
              <w:jc w:val="both"/>
              <w:rPr>
                <w:sz w:val="20"/>
                <w:szCs w:val="20"/>
                <w:lang w:eastAsia="lt-LT"/>
              </w:rPr>
            </w:pPr>
            <w:r w:rsidRPr="00680757">
              <w:rPr>
                <w:sz w:val="20"/>
                <w:szCs w:val="20"/>
                <w:lang w:eastAsia="lt-LT"/>
              </w:rPr>
              <w:t>2.2. indėlininkams už indėlius sąskaitoje, kurioje per pastaruosius 24 mėnesius iki indėlių draudžiamojo įvykio dienos nėra atlikta jokių su indėliu susijusių operacijų ir laikomo indėlio suma yra mažesnė kaip 10 eurų;</w:t>
            </w:r>
          </w:p>
          <w:p w14:paraId="42B50797" w14:textId="77777777" w:rsidR="00015B9A" w:rsidRPr="00680757" w:rsidRDefault="00015B9A" w:rsidP="00015B9A">
            <w:pPr>
              <w:ind w:right="-1"/>
              <w:jc w:val="both"/>
              <w:rPr>
                <w:sz w:val="20"/>
                <w:szCs w:val="20"/>
                <w:lang w:val="lt-LT" w:eastAsia="lt-LT"/>
              </w:rPr>
            </w:pPr>
            <w:r w:rsidRPr="00680757">
              <w:rPr>
                <w:sz w:val="20"/>
                <w:szCs w:val="20"/>
                <w:lang w:val="en-US" w:eastAsia="lt-LT"/>
              </w:rPr>
              <w:t>2.3.</w:t>
            </w:r>
            <w:r w:rsidRPr="00680757">
              <w:rPr>
                <w:sz w:val="20"/>
                <w:szCs w:val="20"/>
                <w:lang w:val="lt-LT" w:eastAsia="lt-LT"/>
              </w:rPr>
              <w:t xml:space="preserve"> indėlininkams ar kitiems asmenims, kurie turi reikalavimo teisę į indėlių draudimo išmoką ir kuriems dėl jų laikomų kaip indėlių pinigų įsigijimo teisėtumo priimtas apkaltinamasis nuosprendis baudžiamojoje byloje dėl pinigų plovimo ir (ar) teroristų finansavimo.</w:t>
            </w:r>
          </w:p>
        </w:tc>
      </w:tr>
      <w:tr w:rsidR="00680757" w:rsidRPr="00680757" w14:paraId="1A8F1348" w14:textId="77777777" w:rsidTr="00680757">
        <w:trPr>
          <w:trHeight w:val="1144"/>
        </w:trPr>
        <w:tc>
          <w:tcPr>
            <w:tcW w:w="1641" w:type="pct"/>
            <w:tcBorders>
              <w:top w:val="single" w:sz="12" w:space="0" w:color="auto"/>
              <w:left w:val="single" w:sz="12" w:space="0" w:color="auto"/>
              <w:bottom w:val="single" w:sz="8" w:space="0" w:color="auto"/>
              <w:right w:val="single" w:sz="12" w:space="0" w:color="auto"/>
            </w:tcBorders>
            <w:tcMar>
              <w:top w:w="0" w:type="dxa"/>
              <w:left w:w="108" w:type="dxa"/>
              <w:bottom w:w="0" w:type="dxa"/>
              <w:right w:w="108" w:type="dxa"/>
            </w:tcMar>
            <w:vAlign w:val="center"/>
            <w:hideMark/>
          </w:tcPr>
          <w:p w14:paraId="792C9E13" w14:textId="77777777" w:rsidR="00015B9A" w:rsidRPr="00680757" w:rsidRDefault="00015B9A" w:rsidP="00015B9A">
            <w:pPr>
              <w:jc w:val="center"/>
              <w:rPr>
                <w:rFonts w:eastAsia="BatangChe"/>
                <w:b/>
                <w:sz w:val="20"/>
                <w:szCs w:val="20"/>
              </w:rPr>
            </w:pPr>
            <w:r w:rsidRPr="00680757">
              <w:rPr>
                <w:rFonts w:eastAsia="Arial Unicode MS"/>
                <w:bCs/>
                <w:sz w:val="20"/>
                <w:szCs w:val="20"/>
              </w:rPr>
              <w:t>Atvejai, kai indėlių draudimo išmokos išmokėjimas atidedamas</w:t>
            </w:r>
          </w:p>
        </w:tc>
        <w:tc>
          <w:tcPr>
            <w:tcW w:w="3359"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3FB94819" w14:textId="77777777" w:rsidR="00015B9A" w:rsidRPr="00680757" w:rsidRDefault="00015B9A" w:rsidP="00015B9A">
            <w:pPr>
              <w:ind w:right="-1"/>
              <w:jc w:val="both"/>
              <w:rPr>
                <w:sz w:val="20"/>
                <w:szCs w:val="20"/>
                <w:lang w:val="lt-LT" w:eastAsia="lt-LT"/>
              </w:rPr>
            </w:pPr>
            <w:r w:rsidRPr="00680757">
              <w:rPr>
                <w:sz w:val="20"/>
                <w:szCs w:val="20"/>
                <w:lang w:val="lt-LT" w:eastAsia="lt-LT"/>
              </w:rPr>
              <w:t>Informuojama, kad pagal Indėlių ir įsipareigojimų investuotojams draudimo įstatymo 7 straipsnio 4 dalį indėlių draudimo išmokos išmokėjimas atidedamas, kai:</w:t>
            </w:r>
          </w:p>
          <w:p w14:paraId="420FB109" w14:textId="77777777" w:rsidR="00015B9A" w:rsidRPr="00680757" w:rsidRDefault="00015B9A" w:rsidP="00015B9A">
            <w:pPr>
              <w:ind w:right="-1"/>
              <w:jc w:val="both"/>
              <w:rPr>
                <w:sz w:val="20"/>
                <w:szCs w:val="20"/>
                <w:lang w:val="lt-LT" w:eastAsia="lt-LT"/>
              </w:rPr>
            </w:pPr>
            <w:r w:rsidRPr="00680757">
              <w:rPr>
                <w:sz w:val="20"/>
                <w:szCs w:val="20"/>
                <w:lang w:val="lt-LT" w:eastAsia="lt-LT"/>
              </w:rPr>
              <w:t>3.1. trūksta duomenų, kuriais pagrindžiama besikreipiančio asmens teisė į indėlių draudimo išmoką, arba dėl indėlio vyksta teisminis ginčas, – iki bus pateikti duomenys, kuriais pagrindžiama teisė gauti indėlių draudimo išmoką, arba įsiteisės galutinis teismo sprendimas, kuriuo išsprendžiamas ginčas dėl indėlio;</w:t>
            </w:r>
          </w:p>
          <w:p w14:paraId="6F078AD2" w14:textId="77777777" w:rsidR="00015B9A" w:rsidRPr="00680757" w:rsidRDefault="00015B9A" w:rsidP="00015B9A">
            <w:pPr>
              <w:ind w:right="-1"/>
              <w:jc w:val="both"/>
              <w:rPr>
                <w:sz w:val="20"/>
                <w:szCs w:val="20"/>
                <w:lang w:val="lt-LT" w:eastAsia="lt-LT"/>
              </w:rPr>
            </w:pPr>
            <w:r w:rsidRPr="00680757">
              <w:rPr>
                <w:sz w:val="20"/>
                <w:szCs w:val="20"/>
                <w:lang w:val="lt-LT" w:eastAsia="lt-LT"/>
              </w:rPr>
              <w:t>3.2. įstatymų nustatytais atvejais ir tvarka indėlininkui apribota teisė disponuoti indėliu, – iki apribojimų panaikinimo;</w:t>
            </w:r>
          </w:p>
          <w:p w14:paraId="0F65915A" w14:textId="77777777" w:rsidR="00015B9A" w:rsidRPr="00680757" w:rsidRDefault="00015B9A" w:rsidP="00015B9A">
            <w:pPr>
              <w:ind w:right="-1"/>
              <w:jc w:val="both"/>
              <w:rPr>
                <w:sz w:val="20"/>
                <w:szCs w:val="20"/>
                <w:lang w:val="lt-LT" w:eastAsia="lt-LT"/>
              </w:rPr>
            </w:pPr>
            <w:r w:rsidRPr="00680757">
              <w:rPr>
                <w:sz w:val="20"/>
                <w:szCs w:val="20"/>
                <w:lang w:val="lt-LT" w:eastAsia="lt-LT"/>
              </w:rPr>
              <w:t>3.3. per pastaruosius 24 mėnesius iki indėlių draudžiamojo įvykio dienos nėra atlikta jokių su indėliu susijusių operacijų, – iki 3 mėnesių nuo indėlių draudžiamojo įvykio dienos;</w:t>
            </w:r>
          </w:p>
          <w:p w14:paraId="4685F54C" w14:textId="77777777" w:rsidR="00015B9A" w:rsidRPr="00680757" w:rsidRDefault="00015B9A" w:rsidP="00015B9A">
            <w:pPr>
              <w:ind w:right="-1"/>
              <w:jc w:val="both"/>
              <w:rPr>
                <w:sz w:val="20"/>
                <w:szCs w:val="20"/>
                <w:lang w:val="lt-LT" w:eastAsia="lt-LT"/>
              </w:rPr>
            </w:pPr>
            <w:r w:rsidRPr="00680757">
              <w:rPr>
                <w:sz w:val="20"/>
                <w:szCs w:val="20"/>
                <w:lang w:val="lt-LT" w:eastAsia="lt-LT"/>
              </w:rPr>
              <w:t xml:space="preserve">3.4. draudimo įmonė iš indėlių draudimo sistemos dalyvio gauna duomenis apie indėlių draudimo išmokos sumą, kuri bus didesnė kaip 100 000 eurų dėl </w:t>
            </w:r>
            <w:r w:rsidRPr="00680757">
              <w:rPr>
                <w:sz w:val="20"/>
                <w:szCs w:val="20"/>
                <w:lang w:eastAsia="lt-LT"/>
              </w:rPr>
              <w:t xml:space="preserve">Indėlių ir įsipareigojimų investuotojams draudimo įstatymo </w:t>
            </w:r>
            <w:r w:rsidRPr="00680757">
              <w:rPr>
                <w:sz w:val="20"/>
                <w:szCs w:val="20"/>
                <w:lang w:val="lt-LT" w:eastAsia="lt-LT"/>
              </w:rPr>
              <w:t xml:space="preserve">4 straipsnio 2 dalyje nurodytų priežasčių, sumai, viršijančiai 100 000 eurų, – iki bus išsiaiškintos </w:t>
            </w:r>
            <w:r w:rsidRPr="00680757">
              <w:rPr>
                <w:sz w:val="20"/>
                <w:szCs w:val="20"/>
                <w:lang w:eastAsia="lt-LT"/>
              </w:rPr>
              <w:t xml:space="preserve">Indėlių ir </w:t>
            </w:r>
            <w:r w:rsidRPr="00680757">
              <w:rPr>
                <w:sz w:val="20"/>
                <w:szCs w:val="20"/>
                <w:lang w:eastAsia="lt-LT"/>
              </w:rPr>
              <w:lastRenderedPageBreak/>
              <w:t xml:space="preserve">įsipareigojimų investuotojams draudimo įstatymo </w:t>
            </w:r>
            <w:r w:rsidRPr="00680757">
              <w:rPr>
                <w:sz w:val="20"/>
                <w:szCs w:val="20"/>
                <w:lang w:val="lt-LT" w:eastAsia="lt-LT"/>
              </w:rPr>
              <w:t>4 straipsnio 2 dalyje nurodytos sumos, bet ne ilgiau kaip 3 mėnesiams nuo indėlių draudžiamojo įvykio dienos;</w:t>
            </w:r>
          </w:p>
          <w:p w14:paraId="1C204904" w14:textId="77777777" w:rsidR="00015B9A" w:rsidRPr="00680757" w:rsidRDefault="00015B9A" w:rsidP="00015B9A">
            <w:pPr>
              <w:ind w:right="-1"/>
              <w:jc w:val="both"/>
              <w:rPr>
                <w:sz w:val="20"/>
                <w:szCs w:val="20"/>
                <w:lang w:val="lt-LT" w:eastAsia="lt-LT"/>
              </w:rPr>
            </w:pPr>
            <w:r w:rsidRPr="00680757">
              <w:rPr>
                <w:sz w:val="20"/>
                <w:szCs w:val="20"/>
                <w:lang w:val="lt-LT" w:eastAsia="lt-LT"/>
              </w:rPr>
              <w:t>3.5. tinkamas drausti indėlis laikomas bendroje ar depozitinėje sąskaitoje, – iki bus išsiaiškintos konkrečiam asmeniui bendroje ar depozitinėje sąskaitoje priklausančios sumos, bet ne ilgiau kaip 3 mėnesiams nuo indėlių draudžiamojo įvykio dienos;</w:t>
            </w:r>
          </w:p>
          <w:p w14:paraId="1D9DE137" w14:textId="77777777" w:rsidR="00015B9A" w:rsidRPr="00680757" w:rsidRDefault="00015B9A" w:rsidP="00015B9A">
            <w:pPr>
              <w:ind w:right="-1"/>
              <w:jc w:val="both"/>
              <w:rPr>
                <w:sz w:val="20"/>
                <w:szCs w:val="20"/>
                <w:lang w:val="lt-LT" w:eastAsia="lt-LT"/>
              </w:rPr>
            </w:pPr>
            <w:r w:rsidRPr="00680757">
              <w:rPr>
                <w:sz w:val="20"/>
                <w:szCs w:val="20"/>
                <w:lang w:val="lt-LT" w:eastAsia="lt-LT"/>
              </w:rPr>
              <w:t xml:space="preserve">3.6. indėlių draudimo išmokos mokamos Lietuvos Respublikoje įsteigtos kredito įstaigos priimančiojoje valstybėje narėje įsteigto filialo indėlininkams pagal </w:t>
            </w:r>
            <w:r w:rsidRPr="00680757">
              <w:rPr>
                <w:sz w:val="20"/>
                <w:szCs w:val="20"/>
                <w:lang w:eastAsia="lt-LT"/>
              </w:rPr>
              <w:t xml:space="preserve">Indėlių ir įsipareigojimų investuotojams draudimo įstatymo </w:t>
            </w:r>
            <w:r w:rsidRPr="00680757">
              <w:rPr>
                <w:sz w:val="20"/>
                <w:szCs w:val="20"/>
                <w:lang w:val="lt-LT" w:eastAsia="lt-LT"/>
              </w:rPr>
              <w:t>7 straipsnio 7 dalį, – iki priimančiosios valstybės narės indėlių draudimo sistemos administratorius patvirtins, kad jis yra pasiruošęs mokėti indėlių draudimo išmokas;</w:t>
            </w:r>
          </w:p>
          <w:p w14:paraId="4CD5CEC0" w14:textId="77777777" w:rsidR="00015B9A" w:rsidRPr="00680757" w:rsidRDefault="00015B9A" w:rsidP="00015B9A">
            <w:pPr>
              <w:ind w:right="-1"/>
              <w:jc w:val="both"/>
              <w:rPr>
                <w:sz w:val="20"/>
                <w:szCs w:val="20"/>
                <w:lang w:val="lt-LT" w:eastAsia="lt-LT"/>
              </w:rPr>
            </w:pPr>
            <w:r w:rsidRPr="00680757">
              <w:rPr>
                <w:sz w:val="20"/>
                <w:szCs w:val="20"/>
                <w:lang w:val="lt-LT" w:eastAsia="lt-LT"/>
              </w:rPr>
              <w:t xml:space="preserve">3.7. indėlių draudimo išmokos mokamos kitoje valstybėje narėje buveinę turinčios kredito įstaigos Lietuvos Respublikoje įsteigto filialo indėlininkams pagal </w:t>
            </w:r>
            <w:r w:rsidRPr="00680757">
              <w:rPr>
                <w:sz w:val="20"/>
                <w:szCs w:val="20"/>
                <w:lang w:eastAsia="lt-LT"/>
              </w:rPr>
              <w:t xml:space="preserve">Indėlių ir įsipareigojimų investuotojams draudimo įstatymo </w:t>
            </w:r>
            <w:r w:rsidRPr="00680757">
              <w:rPr>
                <w:sz w:val="20"/>
                <w:szCs w:val="20"/>
                <w:lang w:val="lt-LT" w:eastAsia="lt-LT"/>
              </w:rPr>
              <w:t>7 straipsnio 8 dalį, – iki buveinės valstybės narės indėlių draudimo sistemos, kurios dalyvė yra kredito įstaiga, įsteigusi filialą Lietuvos Respublikoje, administratorius pateiks draudimo įmonei duomenis, reikalingus draudimo išmokoms išmokėti, ir perves draudimo išmokoms išmokėti reikiamą lėšų sumą;</w:t>
            </w:r>
          </w:p>
          <w:p w14:paraId="41697870" w14:textId="77777777" w:rsidR="00015B9A" w:rsidRPr="00680757" w:rsidRDefault="00015B9A" w:rsidP="00015B9A">
            <w:pPr>
              <w:ind w:right="-1"/>
              <w:jc w:val="both"/>
              <w:rPr>
                <w:sz w:val="20"/>
                <w:szCs w:val="20"/>
                <w:lang w:val="lt-LT" w:eastAsia="lt-LT"/>
              </w:rPr>
            </w:pPr>
            <w:r w:rsidRPr="00680757">
              <w:rPr>
                <w:sz w:val="20"/>
                <w:szCs w:val="20"/>
                <w:lang w:val="lt-LT" w:eastAsia="lt-LT"/>
              </w:rPr>
              <w:t>3.8. indėlininkui ar kitam asmeniui, kurie turi reikalavimo teisę į indėlių draudimo išmoką, dėl jų laikomų kaip indėlių pinigų įsigijimo teisėtumo pareikštas kaltinimas dėl pinigų plovimo ir (ar) teroristų finansavimo, – iki galutinio teismo sprendimo įsiteisėjimo dienos.</w:t>
            </w:r>
          </w:p>
          <w:p w14:paraId="063E2E9E" w14:textId="77777777" w:rsidR="00015B9A" w:rsidRPr="00680757" w:rsidRDefault="00015B9A" w:rsidP="00015B9A">
            <w:pPr>
              <w:ind w:right="-1"/>
              <w:jc w:val="both"/>
              <w:rPr>
                <w:sz w:val="20"/>
                <w:szCs w:val="20"/>
                <w:lang w:val="lt-LT" w:eastAsia="lt-LT"/>
              </w:rPr>
            </w:pPr>
          </w:p>
        </w:tc>
      </w:tr>
      <w:tr w:rsidR="00680757" w:rsidRPr="00680757" w14:paraId="6128A451" w14:textId="77777777" w:rsidTr="00680757">
        <w:trPr>
          <w:trHeight w:val="143"/>
        </w:trPr>
        <w:tc>
          <w:tcPr>
            <w:tcW w:w="1641"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7DE36740" w14:textId="77777777" w:rsidR="00015B9A" w:rsidRPr="00680757" w:rsidRDefault="00015B9A" w:rsidP="00015B9A">
            <w:pPr>
              <w:ind w:right="-1"/>
              <w:rPr>
                <w:sz w:val="20"/>
                <w:szCs w:val="20"/>
                <w:lang w:val="lt-LT" w:eastAsia="lt-LT"/>
              </w:rPr>
            </w:pPr>
            <w:r w:rsidRPr="00680757">
              <w:rPr>
                <w:sz w:val="20"/>
                <w:szCs w:val="20"/>
                <w:lang w:val="lt-LT" w:eastAsia="lt-LT"/>
              </w:rPr>
              <w:t>Kontaktiniai duomenys</w:t>
            </w:r>
          </w:p>
        </w:tc>
        <w:tc>
          <w:tcPr>
            <w:tcW w:w="3359"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17FD0800" w14:textId="10278534" w:rsidR="00015B9A" w:rsidRPr="00680757" w:rsidRDefault="003E6FB6" w:rsidP="00015B9A">
            <w:pPr>
              <w:ind w:right="-1"/>
              <w:jc w:val="both"/>
              <w:rPr>
                <w:sz w:val="20"/>
                <w:szCs w:val="20"/>
                <w:lang w:val="lt-LT" w:eastAsia="lt-LT"/>
              </w:rPr>
            </w:pPr>
            <w:r w:rsidRPr="00680757">
              <w:rPr>
                <w:i/>
                <w:iCs/>
                <w:sz w:val="20"/>
                <w:szCs w:val="20"/>
                <w:lang w:val="lt-LT" w:eastAsia="lt-LT"/>
              </w:rPr>
              <w:t>viešoji įstaiga „Indėlių̨ ir investicijų̨ draudimas“,</w:t>
            </w:r>
            <w:r w:rsidR="000D459F">
              <w:rPr>
                <w:i/>
                <w:iCs/>
                <w:sz w:val="20"/>
                <w:szCs w:val="20"/>
                <w:lang w:val="lt-LT" w:eastAsia="lt-LT"/>
              </w:rPr>
              <w:t xml:space="preserve"> Savanorių pr. </w:t>
            </w:r>
            <w:r w:rsidR="000D459F">
              <w:rPr>
                <w:i/>
                <w:iCs/>
                <w:sz w:val="20"/>
                <w:szCs w:val="20"/>
                <w:lang w:val="en-US" w:eastAsia="lt-LT"/>
              </w:rPr>
              <w:t>5</w:t>
            </w:r>
            <w:r w:rsidR="000D459F" w:rsidRPr="00680757">
              <w:rPr>
                <w:i/>
                <w:iCs/>
                <w:sz w:val="20"/>
                <w:szCs w:val="20"/>
                <w:lang w:val="lt-LT" w:eastAsia="lt-LT"/>
              </w:rPr>
              <w:t>, LT-</w:t>
            </w:r>
            <w:r w:rsidR="000D459F" w:rsidRPr="00214492">
              <w:rPr>
                <w:i/>
                <w:iCs/>
                <w:sz w:val="20"/>
                <w:szCs w:val="20"/>
                <w:lang w:eastAsia="lt-LT"/>
              </w:rPr>
              <w:t>03116</w:t>
            </w:r>
            <w:r w:rsidR="002C4F9E">
              <w:rPr>
                <w:i/>
                <w:iCs/>
                <w:sz w:val="20"/>
                <w:szCs w:val="20"/>
                <w:lang w:eastAsia="lt-LT"/>
              </w:rPr>
              <w:t>,</w:t>
            </w:r>
            <w:r w:rsidR="000D459F" w:rsidRPr="00680757">
              <w:rPr>
                <w:i/>
                <w:iCs/>
                <w:sz w:val="20"/>
                <w:szCs w:val="20"/>
                <w:lang w:val="lt-LT" w:eastAsia="lt-LT"/>
              </w:rPr>
              <w:t xml:space="preserve"> Vilnius</w:t>
            </w:r>
            <w:r w:rsidRPr="00680757">
              <w:rPr>
                <w:i/>
                <w:iCs/>
                <w:sz w:val="20"/>
                <w:szCs w:val="20"/>
                <w:lang w:val="lt-LT" w:eastAsia="lt-LT"/>
              </w:rPr>
              <w:t>, tel. (8 5) 213 5657, el. paštas idf@idf.lt</w:t>
            </w:r>
          </w:p>
        </w:tc>
      </w:tr>
      <w:tr w:rsidR="00B075DA" w:rsidRPr="00680757" w14:paraId="24F81F1B" w14:textId="77777777" w:rsidTr="00680757">
        <w:trPr>
          <w:trHeight w:val="143"/>
        </w:trPr>
        <w:tc>
          <w:tcPr>
            <w:tcW w:w="1641"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0C47E30B" w14:textId="530AACB3" w:rsidR="00B075DA" w:rsidRPr="00680757" w:rsidRDefault="00B075DA" w:rsidP="00B075DA">
            <w:pPr>
              <w:ind w:right="-1"/>
              <w:rPr>
                <w:sz w:val="20"/>
                <w:szCs w:val="20"/>
                <w:lang w:val="lt-LT" w:eastAsia="lt-LT"/>
              </w:rPr>
            </w:pPr>
            <w:r w:rsidRPr="00680757">
              <w:rPr>
                <w:sz w:val="20"/>
                <w:szCs w:val="20"/>
                <w:lang w:val="lt-LT" w:eastAsia="lt-LT"/>
              </w:rPr>
              <w:t>Daugiau informacijos</w:t>
            </w:r>
          </w:p>
        </w:tc>
        <w:tc>
          <w:tcPr>
            <w:tcW w:w="3359"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CDDD318" w14:textId="716B6967" w:rsidR="00B075DA" w:rsidRPr="00680757" w:rsidRDefault="002C4F9E" w:rsidP="00B075DA">
            <w:pPr>
              <w:ind w:right="-1"/>
              <w:jc w:val="both"/>
              <w:rPr>
                <w:sz w:val="20"/>
                <w:szCs w:val="20"/>
                <w:lang w:val="lt-LT" w:eastAsia="lt-LT"/>
              </w:rPr>
            </w:pPr>
            <w:hyperlink r:id="rId11" w:history="1">
              <w:r w:rsidRPr="001D7ECD">
                <w:rPr>
                  <w:rStyle w:val="Hyperlink"/>
                  <w:sz w:val="20"/>
                  <w:szCs w:val="20"/>
                  <w:lang w:val="lt-LT" w:eastAsia="lt-LT"/>
                </w:rPr>
                <w:t>www.iidraudimas.lt</w:t>
              </w:r>
            </w:hyperlink>
            <w:r>
              <w:rPr>
                <w:sz w:val="20"/>
                <w:szCs w:val="20"/>
                <w:lang w:val="lt-LT" w:eastAsia="lt-LT"/>
              </w:rPr>
              <w:t xml:space="preserve"> </w:t>
            </w:r>
          </w:p>
        </w:tc>
      </w:tr>
    </w:tbl>
    <w:p w14:paraId="411D0094" w14:textId="77777777" w:rsidR="00015B9A" w:rsidRPr="00680757" w:rsidRDefault="00015B9A" w:rsidP="00015B9A">
      <w:pPr>
        <w:ind w:firstLine="720"/>
        <w:jc w:val="both"/>
        <w:rPr>
          <w:sz w:val="20"/>
          <w:szCs w:val="20"/>
        </w:rPr>
      </w:pPr>
      <w:bookmarkStart w:id="1" w:name="part_3e236658420441d3b29d62467e195dbb"/>
      <w:bookmarkStart w:id="2" w:name="part_690bc2141cae434e83ad45ad9bb59ab1"/>
      <w:bookmarkStart w:id="3" w:name="part_d6830966ebf24fe7848d13bd386c0072"/>
      <w:bookmarkStart w:id="4" w:name="part_a20a29a1db0e4d89abd7c09c2e8e4834"/>
      <w:bookmarkStart w:id="5" w:name="part_e6e1d6c6be2b4194bb82f0afc94f051d"/>
      <w:bookmarkStart w:id="6" w:name="part_7016e27b05e5451bbb45a00813b081ec"/>
      <w:bookmarkEnd w:id="0"/>
      <w:bookmarkEnd w:id="1"/>
      <w:bookmarkEnd w:id="2"/>
      <w:bookmarkEnd w:id="3"/>
      <w:bookmarkEnd w:id="4"/>
      <w:bookmarkEnd w:id="5"/>
      <w:bookmarkEnd w:id="6"/>
    </w:p>
    <w:p w14:paraId="10AC1518" w14:textId="77777777" w:rsidR="00015B9A" w:rsidRPr="00680757" w:rsidRDefault="00015B9A" w:rsidP="00015B9A">
      <w:pPr>
        <w:tabs>
          <w:tab w:val="left" w:pos="1862"/>
          <w:tab w:val="center" w:pos="5353"/>
        </w:tabs>
        <w:ind w:left="-567" w:firstLine="709"/>
        <w:jc w:val="center"/>
        <w:rPr>
          <w:sz w:val="20"/>
          <w:szCs w:val="20"/>
        </w:rPr>
      </w:pPr>
      <w:r w:rsidRPr="00680757">
        <w:rPr>
          <w:sz w:val="20"/>
          <w:szCs w:val="20"/>
        </w:rPr>
        <w:t>_____________________________</w:t>
      </w:r>
    </w:p>
    <w:p w14:paraId="55B2FEBF" w14:textId="77777777" w:rsidR="00A52A7F" w:rsidRPr="00680757" w:rsidRDefault="00A52A7F" w:rsidP="00A52A7F">
      <w:pPr>
        <w:rPr>
          <w:sz w:val="20"/>
          <w:szCs w:val="20"/>
        </w:rPr>
      </w:pPr>
    </w:p>
    <w:sectPr w:rsidR="00A52A7F" w:rsidRPr="00680757" w:rsidSect="000E762B">
      <w:headerReference w:type="default" r:id="rId12"/>
      <w:pgSz w:w="12240" w:h="15840" w:code="1"/>
      <w:pgMar w:top="851" w:right="567" w:bottom="992" w:left="907"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F35FD" w14:textId="77777777" w:rsidR="005403D5" w:rsidRDefault="005403D5" w:rsidP="00006EFD">
      <w:r>
        <w:separator/>
      </w:r>
    </w:p>
  </w:endnote>
  <w:endnote w:type="continuationSeparator" w:id="0">
    <w:p w14:paraId="5CEF71E7" w14:textId="77777777" w:rsidR="005403D5" w:rsidRDefault="005403D5" w:rsidP="00006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C5A14" w14:textId="77777777" w:rsidR="005403D5" w:rsidRDefault="005403D5" w:rsidP="00006EFD">
      <w:r>
        <w:separator/>
      </w:r>
    </w:p>
  </w:footnote>
  <w:footnote w:type="continuationSeparator" w:id="0">
    <w:p w14:paraId="6B592894" w14:textId="77777777" w:rsidR="005403D5" w:rsidRDefault="005403D5" w:rsidP="00006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82899" w14:textId="3DEF3338" w:rsidR="00006EFD" w:rsidRPr="00006EFD" w:rsidRDefault="00006EFD" w:rsidP="00006EFD">
    <w:pPr>
      <w:pStyle w:val="Header"/>
      <w:jc w:val="right"/>
      <w:rPr>
        <w:b/>
        <w:bCs/>
        <w:sz w:val="24"/>
        <w:szCs w:val="2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22EF8"/>
    <w:multiLevelType w:val="multilevel"/>
    <w:tmpl w:val="1A2C4ADE"/>
    <w:lvl w:ilvl="0">
      <w:start w:val="1"/>
      <w:numFmt w:val="decimal"/>
      <w:lvlText w:val="%1."/>
      <w:lvlJc w:val="left"/>
      <w:pPr>
        <w:ind w:left="360" w:hanging="360"/>
      </w:pPr>
      <w:rPr>
        <w:rFonts w:hint="default"/>
      </w:rPr>
    </w:lvl>
    <w:lvl w:ilvl="1">
      <w:start w:val="8"/>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090A6C51"/>
    <w:multiLevelType w:val="multilevel"/>
    <w:tmpl w:val="7122C122"/>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A9A6F93"/>
    <w:multiLevelType w:val="multilevel"/>
    <w:tmpl w:val="87FA11C0"/>
    <w:lvl w:ilvl="0">
      <w:start w:val="4"/>
      <w:numFmt w:val="decimal"/>
      <w:lvlText w:val="%1."/>
      <w:lvlJc w:val="left"/>
      <w:pPr>
        <w:ind w:left="360" w:hanging="360"/>
      </w:pPr>
      <w:rPr>
        <w:rFonts w:hint="default"/>
      </w:rPr>
    </w:lvl>
    <w:lvl w:ilvl="1">
      <w:start w:val="1"/>
      <w:numFmt w:val="decimal"/>
      <w:lvlText w:val="%1.%2."/>
      <w:lvlJc w:val="left"/>
      <w:pPr>
        <w:ind w:left="454" w:hanging="17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177809E9"/>
    <w:multiLevelType w:val="hybridMultilevel"/>
    <w:tmpl w:val="B3902AC6"/>
    <w:lvl w:ilvl="0" w:tplc="B89A84F8">
      <w:start w:val="1"/>
      <w:numFmt w:val="bullet"/>
      <w:lvlText w:val="-"/>
      <w:lvlJc w:val="left"/>
      <w:pPr>
        <w:ind w:left="1920" w:hanging="360"/>
      </w:pPr>
      <w:rPr>
        <w:rFonts w:ascii="Times New Roman" w:eastAsia="Times New Roman" w:hAnsi="Times New Roman" w:cs="Times New Roman" w:hint="default"/>
      </w:rPr>
    </w:lvl>
    <w:lvl w:ilvl="1" w:tplc="04270003" w:tentative="1">
      <w:start w:val="1"/>
      <w:numFmt w:val="bullet"/>
      <w:lvlText w:val="o"/>
      <w:lvlJc w:val="left"/>
      <w:pPr>
        <w:ind w:left="2640" w:hanging="360"/>
      </w:pPr>
      <w:rPr>
        <w:rFonts w:ascii="Courier New" w:hAnsi="Courier New" w:cs="Courier New" w:hint="default"/>
      </w:rPr>
    </w:lvl>
    <w:lvl w:ilvl="2" w:tplc="04270005" w:tentative="1">
      <w:start w:val="1"/>
      <w:numFmt w:val="bullet"/>
      <w:lvlText w:val=""/>
      <w:lvlJc w:val="left"/>
      <w:pPr>
        <w:ind w:left="3360" w:hanging="360"/>
      </w:pPr>
      <w:rPr>
        <w:rFonts w:ascii="Wingdings" w:hAnsi="Wingdings" w:hint="default"/>
      </w:rPr>
    </w:lvl>
    <w:lvl w:ilvl="3" w:tplc="04270001" w:tentative="1">
      <w:start w:val="1"/>
      <w:numFmt w:val="bullet"/>
      <w:lvlText w:val=""/>
      <w:lvlJc w:val="left"/>
      <w:pPr>
        <w:ind w:left="4080" w:hanging="360"/>
      </w:pPr>
      <w:rPr>
        <w:rFonts w:ascii="Symbol" w:hAnsi="Symbol" w:hint="default"/>
      </w:rPr>
    </w:lvl>
    <w:lvl w:ilvl="4" w:tplc="04270003" w:tentative="1">
      <w:start w:val="1"/>
      <w:numFmt w:val="bullet"/>
      <w:lvlText w:val="o"/>
      <w:lvlJc w:val="left"/>
      <w:pPr>
        <w:ind w:left="4800" w:hanging="360"/>
      </w:pPr>
      <w:rPr>
        <w:rFonts w:ascii="Courier New" w:hAnsi="Courier New" w:cs="Courier New" w:hint="default"/>
      </w:rPr>
    </w:lvl>
    <w:lvl w:ilvl="5" w:tplc="04270005" w:tentative="1">
      <w:start w:val="1"/>
      <w:numFmt w:val="bullet"/>
      <w:lvlText w:val=""/>
      <w:lvlJc w:val="left"/>
      <w:pPr>
        <w:ind w:left="5520" w:hanging="360"/>
      </w:pPr>
      <w:rPr>
        <w:rFonts w:ascii="Wingdings" w:hAnsi="Wingdings" w:hint="default"/>
      </w:rPr>
    </w:lvl>
    <w:lvl w:ilvl="6" w:tplc="04270001" w:tentative="1">
      <w:start w:val="1"/>
      <w:numFmt w:val="bullet"/>
      <w:lvlText w:val=""/>
      <w:lvlJc w:val="left"/>
      <w:pPr>
        <w:ind w:left="6240" w:hanging="360"/>
      </w:pPr>
      <w:rPr>
        <w:rFonts w:ascii="Symbol" w:hAnsi="Symbol" w:hint="default"/>
      </w:rPr>
    </w:lvl>
    <w:lvl w:ilvl="7" w:tplc="04270003" w:tentative="1">
      <w:start w:val="1"/>
      <w:numFmt w:val="bullet"/>
      <w:lvlText w:val="o"/>
      <w:lvlJc w:val="left"/>
      <w:pPr>
        <w:ind w:left="6960" w:hanging="360"/>
      </w:pPr>
      <w:rPr>
        <w:rFonts w:ascii="Courier New" w:hAnsi="Courier New" w:cs="Courier New" w:hint="default"/>
      </w:rPr>
    </w:lvl>
    <w:lvl w:ilvl="8" w:tplc="04270005" w:tentative="1">
      <w:start w:val="1"/>
      <w:numFmt w:val="bullet"/>
      <w:lvlText w:val=""/>
      <w:lvlJc w:val="left"/>
      <w:pPr>
        <w:ind w:left="7680" w:hanging="360"/>
      </w:pPr>
      <w:rPr>
        <w:rFonts w:ascii="Wingdings" w:hAnsi="Wingdings" w:hint="default"/>
      </w:rPr>
    </w:lvl>
  </w:abstractNum>
  <w:abstractNum w:abstractNumId="4" w15:restartNumberingAfterBreak="0">
    <w:nsid w:val="285506FD"/>
    <w:multiLevelType w:val="hybridMultilevel"/>
    <w:tmpl w:val="05388D76"/>
    <w:lvl w:ilvl="0" w:tplc="309C2118">
      <w:start w:val="1"/>
      <w:numFmt w:val="decimal"/>
      <w:lvlText w:val="%1."/>
      <w:lvlJc w:val="left"/>
      <w:pPr>
        <w:ind w:left="1211" w:hanging="360"/>
      </w:pPr>
      <w:rPr>
        <w:rFonts w:hint="default"/>
        <w:color w:val="auto"/>
        <w:sz w:val="24"/>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31972E6D"/>
    <w:multiLevelType w:val="multilevel"/>
    <w:tmpl w:val="C598CE4A"/>
    <w:lvl w:ilvl="0">
      <w:start w:val="1"/>
      <w:numFmt w:val="decimal"/>
      <w:lvlText w:val="%1."/>
      <w:lvlJc w:val="left"/>
      <w:pPr>
        <w:ind w:left="1662" w:hanging="360"/>
      </w:pPr>
      <w:rPr>
        <w:rFonts w:hint="default"/>
        <w:color w:val="auto"/>
        <w:sz w:val="24"/>
      </w:rPr>
    </w:lvl>
    <w:lvl w:ilvl="1">
      <w:start w:val="2"/>
      <w:numFmt w:val="decimal"/>
      <w:isLgl/>
      <w:lvlText w:val="%1.%2."/>
      <w:lvlJc w:val="left"/>
      <w:pPr>
        <w:ind w:left="1662" w:hanging="360"/>
      </w:pPr>
      <w:rPr>
        <w:rFonts w:hint="default"/>
      </w:rPr>
    </w:lvl>
    <w:lvl w:ilvl="2">
      <w:start w:val="1"/>
      <w:numFmt w:val="decimal"/>
      <w:isLgl/>
      <w:lvlText w:val="%1.%2.%3."/>
      <w:lvlJc w:val="left"/>
      <w:pPr>
        <w:ind w:left="2022" w:hanging="720"/>
      </w:pPr>
      <w:rPr>
        <w:rFonts w:hint="default"/>
      </w:rPr>
    </w:lvl>
    <w:lvl w:ilvl="3">
      <w:start w:val="1"/>
      <w:numFmt w:val="decimal"/>
      <w:isLgl/>
      <w:lvlText w:val="%1.%2.%3.%4."/>
      <w:lvlJc w:val="left"/>
      <w:pPr>
        <w:ind w:left="2022" w:hanging="720"/>
      </w:pPr>
      <w:rPr>
        <w:rFonts w:hint="default"/>
      </w:rPr>
    </w:lvl>
    <w:lvl w:ilvl="4">
      <w:start w:val="1"/>
      <w:numFmt w:val="decimal"/>
      <w:isLgl/>
      <w:lvlText w:val="%1.%2.%3.%4.%5."/>
      <w:lvlJc w:val="left"/>
      <w:pPr>
        <w:ind w:left="2382" w:hanging="1080"/>
      </w:pPr>
      <w:rPr>
        <w:rFonts w:hint="default"/>
      </w:rPr>
    </w:lvl>
    <w:lvl w:ilvl="5">
      <w:start w:val="1"/>
      <w:numFmt w:val="decimal"/>
      <w:isLgl/>
      <w:lvlText w:val="%1.%2.%3.%4.%5.%6."/>
      <w:lvlJc w:val="left"/>
      <w:pPr>
        <w:ind w:left="2382" w:hanging="1080"/>
      </w:pPr>
      <w:rPr>
        <w:rFonts w:hint="default"/>
      </w:rPr>
    </w:lvl>
    <w:lvl w:ilvl="6">
      <w:start w:val="1"/>
      <w:numFmt w:val="decimal"/>
      <w:isLgl/>
      <w:lvlText w:val="%1.%2.%3.%4.%5.%6.%7."/>
      <w:lvlJc w:val="left"/>
      <w:pPr>
        <w:ind w:left="2742" w:hanging="1440"/>
      </w:pPr>
      <w:rPr>
        <w:rFonts w:hint="default"/>
      </w:rPr>
    </w:lvl>
    <w:lvl w:ilvl="7">
      <w:start w:val="1"/>
      <w:numFmt w:val="decimal"/>
      <w:isLgl/>
      <w:lvlText w:val="%1.%2.%3.%4.%5.%6.%7.%8."/>
      <w:lvlJc w:val="left"/>
      <w:pPr>
        <w:ind w:left="2742" w:hanging="1440"/>
      </w:pPr>
      <w:rPr>
        <w:rFonts w:hint="default"/>
      </w:rPr>
    </w:lvl>
    <w:lvl w:ilvl="8">
      <w:start w:val="1"/>
      <w:numFmt w:val="decimal"/>
      <w:isLgl/>
      <w:lvlText w:val="%1.%2.%3.%4.%5.%6.%7.%8.%9."/>
      <w:lvlJc w:val="left"/>
      <w:pPr>
        <w:ind w:left="3102" w:hanging="1800"/>
      </w:pPr>
      <w:rPr>
        <w:rFonts w:hint="default"/>
      </w:rPr>
    </w:lvl>
  </w:abstractNum>
  <w:abstractNum w:abstractNumId="6" w15:restartNumberingAfterBreak="0">
    <w:nsid w:val="3CD612DB"/>
    <w:multiLevelType w:val="multilevel"/>
    <w:tmpl w:val="F06E3D76"/>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3DF35A26"/>
    <w:multiLevelType w:val="hybridMultilevel"/>
    <w:tmpl w:val="203267AC"/>
    <w:lvl w:ilvl="0" w:tplc="127462FE">
      <w:start w:val="1"/>
      <w:numFmt w:val="bullet"/>
      <w:lvlText w:val="–"/>
      <w:lvlJc w:val="left"/>
      <w:pPr>
        <w:ind w:left="1636" w:hanging="360"/>
      </w:pPr>
      <w:rPr>
        <w:rFonts w:ascii="Times New Roman" w:eastAsia="Times New Roman" w:hAnsi="Times New Roman" w:cs="Times New Roman" w:hint="default"/>
      </w:rPr>
    </w:lvl>
    <w:lvl w:ilvl="1" w:tplc="04270003" w:tentative="1">
      <w:start w:val="1"/>
      <w:numFmt w:val="bullet"/>
      <w:lvlText w:val="o"/>
      <w:lvlJc w:val="left"/>
      <w:pPr>
        <w:ind w:left="2356" w:hanging="360"/>
      </w:pPr>
      <w:rPr>
        <w:rFonts w:ascii="Courier New" w:hAnsi="Courier New" w:cs="Courier New" w:hint="default"/>
      </w:rPr>
    </w:lvl>
    <w:lvl w:ilvl="2" w:tplc="04270005" w:tentative="1">
      <w:start w:val="1"/>
      <w:numFmt w:val="bullet"/>
      <w:lvlText w:val=""/>
      <w:lvlJc w:val="left"/>
      <w:pPr>
        <w:ind w:left="3076" w:hanging="360"/>
      </w:pPr>
      <w:rPr>
        <w:rFonts w:ascii="Wingdings" w:hAnsi="Wingdings" w:hint="default"/>
      </w:rPr>
    </w:lvl>
    <w:lvl w:ilvl="3" w:tplc="04270001" w:tentative="1">
      <w:start w:val="1"/>
      <w:numFmt w:val="bullet"/>
      <w:lvlText w:val=""/>
      <w:lvlJc w:val="left"/>
      <w:pPr>
        <w:ind w:left="3796" w:hanging="360"/>
      </w:pPr>
      <w:rPr>
        <w:rFonts w:ascii="Symbol" w:hAnsi="Symbol" w:hint="default"/>
      </w:rPr>
    </w:lvl>
    <w:lvl w:ilvl="4" w:tplc="04270003" w:tentative="1">
      <w:start w:val="1"/>
      <w:numFmt w:val="bullet"/>
      <w:lvlText w:val="o"/>
      <w:lvlJc w:val="left"/>
      <w:pPr>
        <w:ind w:left="4516" w:hanging="360"/>
      </w:pPr>
      <w:rPr>
        <w:rFonts w:ascii="Courier New" w:hAnsi="Courier New" w:cs="Courier New" w:hint="default"/>
      </w:rPr>
    </w:lvl>
    <w:lvl w:ilvl="5" w:tplc="04270005" w:tentative="1">
      <w:start w:val="1"/>
      <w:numFmt w:val="bullet"/>
      <w:lvlText w:val=""/>
      <w:lvlJc w:val="left"/>
      <w:pPr>
        <w:ind w:left="5236" w:hanging="360"/>
      </w:pPr>
      <w:rPr>
        <w:rFonts w:ascii="Wingdings" w:hAnsi="Wingdings" w:hint="default"/>
      </w:rPr>
    </w:lvl>
    <w:lvl w:ilvl="6" w:tplc="04270001" w:tentative="1">
      <w:start w:val="1"/>
      <w:numFmt w:val="bullet"/>
      <w:lvlText w:val=""/>
      <w:lvlJc w:val="left"/>
      <w:pPr>
        <w:ind w:left="5956" w:hanging="360"/>
      </w:pPr>
      <w:rPr>
        <w:rFonts w:ascii="Symbol" w:hAnsi="Symbol" w:hint="default"/>
      </w:rPr>
    </w:lvl>
    <w:lvl w:ilvl="7" w:tplc="04270003" w:tentative="1">
      <w:start w:val="1"/>
      <w:numFmt w:val="bullet"/>
      <w:lvlText w:val="o"/>
      <w:lvlJc w:val="left"/>
      <w:pPr>
        <w:ind w:left="6676" w:hanging="360"/>
      </w:pPr>
      <w:rPr>
        <w:rFonts w:ascii="Courier New" w:hAnsi="Courier New" w:cs="Courier New" w:hint="default"/>
      </w:rPr>
    </w:lvl>
    <w:lvl w:ilvl="8" w:tplc="04270005" w:tentative="1">
      <w:start w:val="1"/>
      <w:numFmt w:val="bullet"/>
      <w:lvlText w:val=""/>
      <w:lvlJc w:val="left"/>
      <w:pPr>
        <w:ind w:left="7396" w:hanging="360"/>
      </w:pPr>
      <w:rPr>
        <w:rFonts w:ascii="Wingdings" w:hAnsi="Wingdings" w:hint="default"/>
      </w:rPr>
    </w:lvl>
  </w:abstractNum>
  <w:abstractNum w:abstractNumId="8" w15:restartNumberingAfterBreak="0">
    <w:nsid w:val="3F5433D2"/>
    <w:multiLevelType w:val="multilevel"/>
    <w:tmpl w:val="5A3405DC"/>
    <w:lvl w:ilvl="0">
      <w:start w:val="1"/>
      <w:numFmt w:val="decimal"/>
      <w:lvlText w:val="%1."/>
      <w:lvlJc w:val="left"/>
      <w:pPr>
        <w:ind w:left="360" w:hanging="360"/>
      </w:pPr>
      <w:rPr>
        <w:rFonts w:hint="default"/>
      </w:rPr>
    </w:lvl>
    <w:lvl w:ilvl="1">
      <w:start w:val="8"/>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450356A9"/>
    <w:multiLevelType w:val="hybridMultilevel"/>
    <w:tmpl w:val="351CC76E"/>
    <w:lvl w:ilvl="0" w:tplc="2E28195C">
      <w:start w:val="1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0" w15:restartNumberingAfterBreak="0">
    <w:nsid w:val="48C448EC"/>
    <w:multiLevelType w:val="hybridMultilevel"/>
    <w:tmpl w:val="CE8C5114"/>
    <w:lvl w:ilvl="0" w:tplc="14EE6472">
      <w:start w:val="10"/>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11" w15:restartNumberingAfterBreak="0">
    <w:nsid w:val="4C2902EB"/>
    <w:multiLevelType w:val="hybridMultilevel"/>
    <w:tmpl w:val="43B01374"/>
    <w:lvl w:ilvl="0" w:tplc="2E28195C">
      <w:start w:val="10"/>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2" w15:restartNumberingAfterBreak="0">
    <w:nsid w:val="4F14699E"/>
    <w:multiLevelType w:val="hybridMultilevel"/>
    <w:tmpl w:val="3CB8C886"/>
    <w:lvl w:ilvl="0" w:tplc="75EE906E">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3A066B1"/>
    <w:multiLevelType w:val="hybridMultilevel"/>
    <w:tmpl w:val="94C01A10"/>
    <w:lvl w:ilvl="0" w:tplc="959ADD4C">
      <w:start w:val="2"/>
      <w:numFmt w:val="decimal"/>
      <w:lvlText w:val="%1."/>
      <w:lvlJc w:val="left"/>
      <w:pPr>
        <w:ind w:left="644" w:hanging="360"/>
      </w:pPr>
      <w:rPr>
        <w:rFonts w:hint="default"/>
      </w:rPr>
    </w:lvl>
    <w:lvl w:ilvl="1" w:tplc="04270019">
      <w:start w:val="1"/>
      <w:numFmt w:val="lowerLetter"/>
      <w:lvlText w:val="%2."/>
      <w:lvlJc w:val="left"/>
      <w:pPr>
        <w:ind w:left="1364" w:hanging="360"/>
      </w:pPr>
    </w:lvl>
    <w:lvl w:ilvl="2" w:tplc="0427001B">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4" w15:restartNumberingAfterBreak="0">
    <w:nsid w:val="5E774939"/>
    <w:multiLevelType w:val="multilevel"/>
    <w:tmpl w:val="CA7A259A"/>
    <w:lvl w:ilvl="0">
      <w:start w:val="1"/>
      <w:numFmt w:val="decimal"/>
      <w:lvlText w:val="%1."/>
      <w:lvlJc w:val="left"/>
      <w:pPr>
        <w:ind w:left="360" w:hanging="360"/>
      </w:pPr>
      <w:rPr>
        <w:rFonts w:hint="default"/>
      </w:rPr>
    </w:lvl>
    <w:lvl w:ilvl="1">
      <w:start w:val="7"/>
      <w:numFmt w:val="decimal"/>
      <w:lvlText w:val="%1.%2."/>
      <w:lvlJc w:val="left"/>
      <w:pPr>
        <w:ind w:left="502"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5" w15:restartNumberingAfterBreak="0">
    <w:nsid w:val="6905440E"/>
    <w:multiLevelType w:val="multilevel"/>
    <w:tmpl w:val="0444DE0C"/>
    <w:lvl w:ilvl="0">
      <w:start w:val="7"/>
      <w:numFmt w:val="decimal"/>
      <w:lvlText w:val="%1."/>
      <w:lvlJc w:val="left"/>
      <w:pPr>
        <w:ind w:left="1211" w:hanging="360"/>
      </w:pPr>
      <w:rPr>
        <w:rFonts w:hint="default"/>
      </w:rPr>
    </w:lvl>
    <w:lvl w:ilvl="1">
      <w:start w:val="3"/>
      <w:numFmt w:val="decimal"/>
      <w:lvlText w:val="%1.%2."/>
      <w:lvlJc w:val="left"/>
      <w:pPr>
        <w:ind w:left="2204" w:hanging="36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272" w:hanging="720"/>
      </w:pPr>
      <w:rPr>
        <w:rFonts w:hint="default"/>
      </w:rPr>
    </w:lvl>
    <w:lvl w:ilvl="4">
      <w:start w:val="1"/>
      <w:numFmt w:val="decimal"/>
      <w:lvlText w:val="%1.%2.%3.%4.%5."/>
      <w:lvlJc w:val="left"/>
      <w:pPr>
        <w:ind w:left="4199" w:hanging="1080"/>
      </w:pPr>
      <w:rPr>
        <w:rFonts w:hint="default"/>
      </w:rPr>
    </w:lvl>
    <w:lvl w:ilvl="5">
      <w:start w:val="1"/>
      <w:numFmt w:val="decimal"/>
      <w:lvlText w:val="%1.%2.%3.%4.%5.%6."/>
      <w:lvlJc w:val="left"/>
      <w:pPr>
        <w:ind w:left="4766" w:hanging="1080"/>
      </w:pPr>
      <w:rPr>
        <w:rFonts w:hint="default"/>
      </w:rPr>
    </w:lvl>
    <w:lvl w:ilvl="6">
      <w:start w:val="1"/>
      <w:numFmt w:val="decimal"/>
      <w:lvlText w:val="%1.%2.%3.%4.%5.%6.%7."/>
      <w:lvlJc w:val="left"/>
      <w:pPr>
        <w:ind w:left="5693" w:hanging="1440"/>
      </w:pPr>
      <w:rPr>
        <w:rFonts w:hint="default"/>
      </w:rPr>
    </w:lvl>
    <w:lvl w:ilvl="7">
      <w:start w:val="1"/>
      <w:numFmt w:val="decimal"/>
      <w:lvlText w:val="%1.%2.%3.%4.%5.%6.%7.%8."/>
      <w:lvlJc w:val="left"/>
      <w:pPr>
        <w:ind w:left="6260" w:hanging="1440"/>
      </w:pPr>
      <w:rPr>
        <w:rFonts w:hint="default"/>
      </w:rPr>
    </w:lvl>
    <w:lvl w:ilvl="8">
      <w:start w:val="1"/>
      <w:numFmt w:val="decimal"/>
      <w:lvlText w:val="%1.%2.%3.%4.%5.%6.%7.%8.%9."/>
      <w:lvlJc w:val="left"/>
      <w:pPr>
        <w:ind w:left="7187" w:hanging="1800"/>
      </w:pPr>
      <w:rPr>
        <w:rFonts w:hint="default"/>
      </w:rPr>
    </w:lvl>
  </w:abstractNum>
  <w:abstractNum w:abstractNumId="16" w15:restartNumberingAfterBreak="0">
    <w:nsid w:val="6C304C6F"/>
    <w:multiLevelType w:val="hybridMultilevel"/>
    <w:tmpl w:val="9E941050"/>
    <w:lvl w:ilvl="0" w:tplc="61D6CB94">
      <w:start w:val="5"/>
      <w:numFmt w:val="decimal"/>
      <w:lvlText w:val="%1."/>
      <w:lvlJc w:val="left"/>
      <w:pPr>
        <w:ind w:left="2022" w:hanging="360"/>
      </w:pPr>
      <w:rPr>
        <w:rFonts w:hint="default"/>
      </w:rPr>
    </w:lvl>
    <w:lvl w:ilvl="1" w:tplc="04270019" w:tentative="1">
      <w:start w:val="1"/>
      <w:numFmt w:val="lowerLetter"/>
      <w:lvlText w:val="%2."/>
      <w:lvlJc w:val="left"/>
      <w:pPr>
        <w:ind w:left="2742" w:hanging="360"/>
      </w:pPr>
    </w:lvl>
    <w:lvl w:ilvl="2" w:tplc="0427001B" w:tentative="1">
      <w:start w:val="1"/>
      <w:numFmt w:val="lowerRoman"/>
      <w:lvlText w:val="%3."/>
      <w:lvlJc w:val="right"/>
      <w:pPr>
        <w:ind w:left="3462" w:hanging="180"/>
      </w:pPr>
    </w:lvl>
    <w:lvl w:ilvl="3" w:tplc="0427000F" w:tentative="1">
      <w:start w:val="1"/>
      <w:numFmt w:val="decimal"/>
      <w:lvlText w:val="%4."/>
      <w:lvlJc w:val="left"/>
      <w:pPr>
        <w:ind w:left="4182" w:hanging="360"/>
      </w:pPr>
    </w:lvl>
    <w:lvl w:ilvl="4" w:tplc="04270019" w:tentative="1">
      <w:start w:val="1"/>
      <w:numFmt w:val="lowerLetter"/>
      <w:lvlText w:val="%5."/>
      <w:lvlJc w:val="left"/>
      <w:pPr>
        <w:ind w:left="4902" w:hanging="360"/>
      </w:pPr>
    </w:lvl>
    <w:lvl w:ilvl="5" w:tplc="0427001B" w:tentative="1">
      <w:start w:val="1"/>
      <w:numFmt w:val="lowerRoman"/>
      <w:lvlText w:val="%6."/>
      <w:lvlJc w:val="right"/>
      <w:pPr>
        <w:ind w:left="5622" w:hanging="180"/>
      </w:pPr>
    </w:lvl>
    <w:lvl w:ilvl="6" w:tplc="0427000F" w:tentative="1">
      <w:start w:val="1"/>
      <w:numFmt w:val="decimal"/>
      <w:lvlText w:val="%7."/>
      <w:lvlJc w:val="left"/>
      <w:pPr>
        <w:ind w:left="6342" w:hanging="360"/>
      </w:pPr>
    </w:lvl>
    <w:lvl w:ilvl="7" w:tplc="04270019" w:tentative="1">
      <w:start w:val="1"/>
      <w:numFmt w:val="lowerLetter"/>
      <w:lvlText w:val="%8."/>
      <w:lvlJc w:val="left"/>
      <w:pPr>
        <w:ind w:left="7062" w:hanging="360"/>
      </w:pPr>
    </w:lvl>
    <w:lvl w:ilvl="8" w:tplc="0427001B" w:tentative="1">
      <w:start w:val="1"/>
      <w:numFmt w:val="lowerRoman"/>
      <w:lvlText w:val="%9."/>
      <w:lvlJc w:val="right"/>
      <w:pPr>
        <w:ind w:left="7782" w:hanging="180"/>
      </w:pPr>
    </w:lvl>
  </w:abstractNum>
  <w:abstractNum w:abstractNumId="17" w15:restartNumberingAfterBreak="0">
    <w:nsid w:val="78482327"/>
    <w:multiLevelType w:val="hybridMultilevel"/>
    <w:tmpl w:val="0BD42ECA"/>
    <w:lvl w:ilvl="0" w:tplc="AA3C3B30">
      <w:start w:val="5"/>
      <w:numFmt w:val="decimal"/>
      <w:lvlText w:val="%1."/>
      <w:lvlJc w:val="left"/>
      <w:pPr>
        <w:ind w:left="2022" w:hanging="360"/>
      </w:pPr>
      <w:rPr>
        <w:rFonts w:hint="default"/>
      </w:rPr>
    </w:lvl>
    <w:lvl w:ilvl="1" w:tplc="04270019" w:tentative="1">
      <w:start w:val="1"/>
      <w:numFmt w:val="lowerLetter"/>
      <w:lvlText w:val="%2."/>
      <w:lvlJc w:val="left"/>
      <w:pPr>
        <w:ind w:left="2742" w:hanging="360"/>
      </w:pPr>
    </w:lvl>
    <w:lvl w:ilvl="2" w:tplc="0427001B" w:tentative="1">
      <w:start w:val="1"/>
      <w:numFmt w:val="lowerRoman"/>
      <w:lvlText w:val="%3."/>
      <w:lvlJc w:val="right"/>
      <w:pPr>
        <w:ind w:left="3462" w:hanging="180"/>
      </w:pPr>
    </w:lvl>
    <w:lvl w:ilvl="3" w:tplc="0427000F" w:tentative="1">
      <w:start w:val="1"/>
      <w:numFmt w:val="decimal"/>
      <w:lvlText w:val="%4."/>
      <w:lvlJc w:val="left"/>
      <w:pPr>
        <w:ind w:left="4182" w:hanging="360"/>
      </w:pPr>
    </w:lvl>
    <w:lvl w:ilvl="4" w:tplc="04270019" w:tentative="1">
      <w:start w:val="1"/>
      <w:numFmt w:val="lowerLetter"/>
      <w:lvlText w:val="%5."/>
      <w:lvlJc w:val="left"/>
      <w:pPr>
        <w:ind w:left="4902" w:hanging="360"/>
      </w:pPr>
    </w:lvl>
    <w:lvl w:ilvl="5" w:tplc="0427001B" w:tentative="1">
      <w:start w:val="1"/>
      <w:numFmt w:val="lowerRoman"/>
      <w:lvlText w:val="%6."/>
      <w:lvlJc w:val="right"/>
      <w:pPr>
        <w:ind w:left="5622" w:hanging="180"/>
      </w:pPr>
    </w:lvl>
    <w:lvl w:ilvl="6" w:tplc="0427000F" w:tentative="1">
      <w:start w:val="1"/>
      <w:numFmt w:val="decimal"/>
      <w:lvlText w:val="%7."/>
      <w:lvlJc w:val="left"/>
      <w:pPr>
        <w:ind w:left="6342" w:hanging="360"/>
      </w:pPr>
    </w:lvl>
    <w:lvl w:ilvl="7" w:tplc="04270019" w:tentative="1">
      <w:start w:val="1"/>
      <w:numFmt w:val="lowerLetter"/>
      <w:lvlText w:val="%8."/>
      <w:lvlJc w:val="left"/>
      <w:pPr>
        <w:ind w:left="7062" w:hanging="360"/>
      </w:pPr>
    </w:lvl>
    <w:lvl w:ilvl="8" w:tplc="0427001B" w:tentative="1">
      <w:start w:val="1"/>
      <w:numFmt w:val="lowerRoman"/>
      <w:lvlText w:val="%9."/>
      <w:lvlJc w:val="right"/>
      <w:pPr>
        <w:ind w:left="7782" w:hanging="180"/>
      </w:pPr>
    </w:lvl>
  </w:abstractNum>
  <w:abstractNum w:abstractNumId="18" w15:restartNumberingAfterBreak="0">
    <w:nsid w:val="7DD1066F"/>
    <w:multiLevelType w:val="hybridMultilevel"/>
    <w:tmpl w:val="76784ACC"/>
    <w:lvl w:ilvl="0" w:tplc="D826D900">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552935621">
    <w:abstractNumId w:val="13"/>
  </w:num>
  <w:num w:numId="2" w16cid:durableId="805777980">
    <w:abstractNumId w:val="2"/>
  </w:num>
  <w:num w:numId="3" w16cid:durableId="1141070201">
    <w:abstractNumId w:val="6"/>
  </w:num>
  <w:num w:numId="4" w16cid:durableId="654997047">
    <w:abstractNumId w:val="15"/>
  </w:num>
  <w:num w:numId="5" w16cid:durableId="1963730719">
    <w:abstractNumId w:val="10"/>
  </w:num>
  <w:num w:numId="6" w16cid:durableId="1326855641">
    <w:abstractNumId w:val="11"/>
  </w:num>
  <w:num w:numId="7" w16cid:durableId="1480341898">
    <w:abstractNumId w:val="9"/>
  </w:num>
  <w:num w:numId="8" w16cid:durableId="1779251122">
    <w:abstractNumId w:val="3"/>
  </w:num>
  <w:num w:numId="9" w16cid:durableId="2118088844">
    <w:abstractNumId w:val="18"/>
  </w:num>
  <w:num w:numId="10" w16cid:durableId="1823620990">
    <w:abstractNumId w:val="7"/>
  </w:num>
  <w:num w:numId="11" w16cid:durableId="433670806">
    <w:abstractNumId w:val="5"/>
  </w:num>
  <w:num w:numId="12" w16cid:durableId="897134832">
    <w:abstractNumId w:val="4"/>
  </w:num>
  <w:num w:numId="13" w16cid:durableId="1260914419">
    <w:abstractNumId w:val="17"/>
  </w:num>
  <w:num w:numId="14" w16cid:durableId="1876038594">
    <w:abstractNumId w:val="12"/>
  </w:num>
  <w:num w:numId="15" w16cid:durableId="608006295">
    <w:abstractNumId w:val="16"/>
  </w:num>
  <w:num w:numId="16" w16cid:durableId="20520280">
    <w:abstractNumId w:val="14"/>
  </w:num>
  <w:num w:numId="17" w16cid:durableId="1628731207">
    <w:abstractNumId w:val="1"/>
  </w:num>
  <w:num w:numId="18" w16cid:durableId="260920824">
    <w:abstractNumId w:val="8"/>
  </w:num>
  <w:num w:numId="19" w16cid:durableId="1099058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C59"/>
    <w:rsid w:val="00006EFD"/>
    <w:rsid w:val="0001498C"/>
    <w:rsid w:val="00014CAE"/>
    <w:rsid w:val="00015B9A"/>
    <w:rsid w:val="00020C6A"/>
    <w:rsid w:val="00025114"/>
    <w:rsid w:val="00026E8B"/>
    <w:rsid w:val="00030D4B"/>
    <w:rsid w:val="00030ECC"/>
    <w:rsid w:val="0003725E"/>
    <w:rsid w:val="00040695"/>
    <w:rsid w:val="00040AC0"/>
    <w:rsid w:val="000449A7"/>
    <w:rsid w:val="00047404"/>
    <w:rsid w:val="000520E5"/>
    <w:rsid w:val="00053095"/>
    <w:rsid w:val="000550AE"/>
    <w:rsid w:val="00055333"/>
    <w:rsid w:val="0005591C"/>
    <w:rsid w:val="000565C4"/>
    <w:rsid w:val="0006235C"/>
    <w:rsid w:val="000639A3"/>
    <w:rsid w:val="00064AE4"/>
    <w:rsid w:val="000664AA"/>
    <w:rsid w:val="00072EDA"/>
    <w:rsid w:val="00077630"/>
    <w:rsid w:val="00081219"/>
    <w:rsid w:val="00087DCE"/>
    <w:rsid w:val="00090084"/>
    <w:rsid w:val="000911F7"/>
    <w:rsid w:val="00094E7D"/>
    <w:rsid w:val="000A0688"/>
    <w:rsid w:val="000A171B"/>
    <w:rsid w:val="000B17FE"/>
    <w:rsid w:val="000B2CBF"/>
    <w:rsid w:val="000B6A06"/>
    <w:rsid w:val="000C10D9"/>
    <w:rsid w:val="000C7019"/>
    <w:rsid w:val="000D3590"/>
    <w:rsid w:val="000D459F"/>
    <w:rsid w:val="000E1183"/>
    <w:rsid w:val="000E59AE"/>
    <w:rsid w:val="000E6BB4"/>
    <w:rsid w:val="000E762B"/>
    <w:rsid w:val="000E77CC"/>
    <w:rsid w:val="000F3C1D"/>
    <w:rsid w:val="000F7C94"/>
    <w:rsid w:val="00100612"/>
    <w:rsid w:val="00100AE1"/>
    <w:rsid w:val="00102DD0"/>
    <w:rsid w:val="00104653"/>
    <w:rsid w:val="0010509F"/>
    <w:rsid w:val="00105C95"/>
    <w:rsid w:val="00115C58"/>
    <w:rsid w:val="001219A9"/>
    <w:rsid w:val="00121B3D"/>
    <w:rsid w:val="00125714"/>
    <w:rsid w:val="00134214"/>
    <w:rsid w:val="001359B0"/>
    <w:rsid w:val="00140C6A"/>
    <w:rsid w:val="00151F79"/>
    <w:rsid w:val="001535A3"/>
    <w:rsid w:val="001546E6"/>
    <w:rsid w:val="00161750"/>
    <w:rsid w:val="001743CD"/>
    <w:rsid w:val="0018424C"/>
    <w:rsid w:val="00195156"/>
    <w:rsid w:val="001A4DB5"/>
    <w:rsid w:val="001B78DF"/>
    <w:rsid w:val="001C0160"/>
    <w:rsid w:val="001C6962"/>
    <w:rsid w:val="001D076E"/>
    <w:rsid w:val="001D085F"/>
    <w:rsid w:val="001D1BB0"/>
    <w:rsid w:val="001D369A"/>
    <w:rsid w:val="001D3836"/>
    <w:rsid w:val="001E02B6"/>
    <w:rsid w:val="001E2545"/>
    <w:rsid w:val="001E388A"/>
    <w:rsid w:val="001E4083"/>
    <w:rsid w:val="001E6D7A"/>
    <w:rsid w:val="001F604F"/>
    <w:rsid w:val="0020025A"/>
    <w:rsid w:val="002046A4"/>
    <w:rsid w:val="00207BEC"/>
    <w:rsid w:val="0021030E"/>
    <w:rsid w:val="00212239"/>
    <w:rsid w:val="00213E33"/>
    <w:rsid w:val="00214492"/>
    <w:rsid w:val="00216457"/>
    <w:rsid w:val="00220046"/>
    <w:rsid w:val="002202D9"/>
    <w:rsid w:val="0022066F"/>
    <w:rsid w:val="002206BB"/>
    <w:rsid w:val="00226366"/>
    <w:rsid w:val="00232763"/>
    <w:rsid w:val="00232A41"/>
    <w:rsid w:val="002338CB"/>
    <w:rsid w:val="00235B79"/>
    <w:rsid w:val="00237A41"/>
    <w:rsid w:val="00240EDD"/>
    <w:rsid w:val="002414DC"/>
    <w:rsid w:val="00242847"/>
    <w:rsid w:val="00244619"/>
    <w:rsid w:val="00246B04"/>
    <w:rsid w:val="00247FFC"/>
    <w:rsid w:val="0025116A"/>
    <w:rsid w:val="00254A31"/>
    <w:rsid w:val="002655A1"/>
    <w:rsid w:val="00267992"/>
    <w:rsid w:val="00273449"/>
    <w:rsid w:val="00273FA9"/>
    <w:rsid w:val="00277AC7"/>
    <w:rsid w:val="0028233C"/>
    <w:rsid w:val="002829D2"/>
    <w:rsid w:val="0028721D"/>
    <w:rsid w:val="002873E9"/>
    <w:rsid w:val="002920F7"/>
    <w:rsid w:val="00292751"/>
    <w:rsid w:val="002932C1"/>
    <w:rsid w:val="00294DFF"/>
    <w:rsid w:val="002A5058"/>
    <w:rsid w:val="002A6AD6"/>
    <w:rsid w:val="002A7B6C"/>
    <w:rsid w:val="002C25D5"/>
    <w:rsid w:val="002C2D15"/>
    <w:rsid w:val="002C3853"/>
    <w:rsid w:val="002C3F7A"/>
    <w:rsid w:val="002C4F9E"/>
    <w:rsid w:val="002C741F"/>
    <w:rsid w:val="002D56B5"/>
    <w:rsid w:val="002D6502"/>
    <w:rsid w:val="002E220D"/>
    <w:rsid w:val="002E2A83"/>
    <w:rsid w:val="002E73CE"/>
    <w:rsid w:val="002F5F68"/>
    <w:rsid w:val="002F78E8"/>
    <w:rsid w:val="002F79F9"/>
    <w:rsid w:val="00305AAF"/>
    <w:rsid w:val="0031687E"/>
    <w:rsid w:val="00316EDE"/>
    <w:rsid w:val="003175B7"/>
    <w:rsid w:val="0032085E"/>
    <w:rsid w:val="00323EA6"/>
    <w:rsid w:val="00327C56"/>
    <w:rsid w:val="003311C9"/>
    <w:rsid w:val="00333685"/>
    <w:rsid w:val="00337550"/>
    <w:rsid w:val="0034072B"/>
    <w:rsid w:val="0036080C"/>
    <w:rsid w:val="00360CEA"/>
    <w:rsid w:val="00360E8C"/>
    <w:rsid w:val="003705CE"/>
    <w:rsid w:val="00377D02"/>
    <w:rsid w:val="00380A82"/>
    <w:rsid w:val="00381510"/>
    <w:rsid w:val="0039150D"/>
    <w:rsid w:val="00396AC7"/>
    <w:rsid w:val="003A0176"/>
    <w:rsid w:val="003A414A"/>
    <w:rsid w:val="003A6C00"/>
    <w:rsid w:val="003A7EB4"/>
    <w:rsid w:val="003B7DBC"/>
    <w:rsid w:val="003C1AA2"/>
    <w:rsid w:val="003C37CC"/>
    <w:rsid w:val="003C3A26"/>
    <w:rsid w:val="003C467F"/>
    <w:rsid w:val="003D4EE3"/>
    <w:rsid w:val="003D61F5"/>
    <w:rsid w:val="003D61FA"/>
    <w:rsid w:val="003E29A3"/>
    <w:rsid w:val="003E6FB6"/>
    <w:rsid w:val="003F6177"/>
    <w:rsid w:val="004059E5"/>
    <w:rsid w:val="0041098E"/>
    <w:rsid w:val="0041671D"/>
    <w:rsid w:val="00417157"/>
    <w:rsid w:val="00431A6E"/>
    <w:rsid w:val="00432622"/>
    <w:rsid w:val="0043324F"/>
    <w:rsid w:val="004336A7"/>
    <w:rsid w:val="0043519E"/>
    <w:rsid w:val="00436859"/>
    <w:rsid w:val="00441894"/>
    <w:rsid w:val="00442A20"/>
    <w:rsid w:val="00447B5B"/>
    <w:rsid w:val="00451785"/>
    <w:rsid w:val="00462008"/>
    <w:rsid w:val="0046548D"/>
    <w:rsid w:val="00467454"/>
    <w:rsid w:val="00471808"/>
    <w:rsid w:val="00476567"/>
    <w:rsid w:val="0049024A"/>
    <w:rsid w:val="00493BED"/>
    <w:rsid w:val="00495021"/>
    <w:rsid w:val="00496DBB"/>
    <w:rsid w:val="004A2A73"/>
    <w:rsid w:val="004A3C40"/>
    <w:rsid w:val="004A728F"/>
    <w:rsid w:val="004B7D47"/>
    <w:rsid w:val="004B7D89"/>
    <w:rsid w:val="004C0A73"/>
    <w:rsid w:val="004C45E6"/>
    <w:rsid w:val="004C6D9D"/>
    <w:rsid w:val="004D722C"/>
    <w:rsid w:val="004D77FD"/>
    <w:rsid w:val="004E27DC"/>
    <w:rsid w:val="004E32E7"/>
    <w:rsid w:val="004F0F61"/>
    <w:rsid w:val="004F5A1E"/>
    <w:rsid w:val="004F6AAF"/>
    <w:rsid w:val="00501202"/>
    <w:rsid w:val="0052271D"/>
    <w:rsid w:val="0053409D"/>
    <w:rsid w:val="005366C1"/>
    <w:rsid w:val="005403D5"/>
    <w:rsid w:val="00546344"/>
    <w:rsid w:val="00550BC9"/>
    <w:rsid w:val="00551625"/>
    <w:rsid w:val="00552889"/>
    <w:rsid w:val="00553575"/>
    <w:rsid w:val="00560C39"/>
    <w:rsid w:val="00565DA9"/>
    <w:rsid w:val="00570B71"/>
    <w:rsid w:val="005739AB"/>
    <w:rsid w:val="005744EB"/>
    <w:rsid w:val="00576D23"/>
    <w:rsid w:val="005808F1"/>
    <w:rsid w:val="005812ED"/>
    <w:rsid w:val="00584467"/>
    <w:rsid w:val="00585928"/>
    <w:rsid w:val="00585AB8"/>
    <w:rsid w:val="00586A31"/>
    <w:rsid w:val="005952C2"/>
    <w:rsid w:val="0059584A"/>
    <w:rsid w:val="00596E68"/>
    <w:rsid w:val="005976F5"/>
    <w:rsid w:val="005A251C"/>
    <w:rsid w:val="005A3140"/>
    <w:rsid w:val="005A454C"/>
    <w:rsid w:val="005A6321"/>
    <w:rsid w:val="005B0534"/>
    <w:rsid w:val="005B2186"/>
    <w:rsid w:val="005B3E7B"/>
    <w:rsid w:val="005B3FCA"/>
    <w:rsid w:val="005B4730"/>
    <w:rsid w:val="005B7742"/>
    <w:rsid w:val="005C0B2E"/>
    <w:rsid w:val="005D2030"/>
    <w:rsid w:val="005E3BFF"/>
    <w:rsid w:val="005F771E"/>
    <w:rsid w:val="006061E0"/>
    <w:rsid w:val="00614898"/>
    <w:rsid w:val="006161A0"/>
    <w:rsid w:val="00620CAE"/>
    <w:rsid w:val="0062341E"/>
    <w:rsid w:val="00634B52"/>
    <w:rsid w:val="00637037"/>
    <w:rsid w:val="006419C7"/>
    <w:rsid w:val="00645594"/>
    <w:rsid w:val="00646D29"/>
    <w:rsid w:val="006514C6"/>
    <w:rsid w:val="00653AB8"/>
    <w:rsid w:val="0065679F"/>
    <w:rsid w:val="00656B74"/>
    <w:rsid w:val="00663EAC"/>
    <w:rsid w:val="0066799D"/>
    <w:rsid w:val="00670C67"/>
    <w:rsid w:val="00670D50"/>
    <w:rsid w:val="00673BBA"/>
    <w:rsid w:val="00674022"/>
    <w:rsid w:val="0067615A"/>
    <w:rsid w:val="00676CCC"/>
    <w:rsid w:val="00680757"/>
    <w:rsid w:val="00684BD5"/>
    <w:rsid w:val="00695EA4"/>
    <w:rsid w:val="00697184"/>
    <w:rsid w:val="006A2D2E"/>
    <w:rsid w:val="006A3AA5"/>
    <w:rsid w:val="006B5CDC"/>
    <w:rsid w:val="006B7259"/>
    <w:rsid w:val="006B745C"/>
    <w:rsid w:val="006C0300"/>
    <w:rsid w:val="006C6384"/>
    <w:rsid w:val="006D66D2"/>
    <w:rsid w:val="006E1D31"/>
    <w:rsid w:val="006E2B71"/>
    <w:rsid w:val="006F2529"/>
    <w:rsid w:val="006F382F"/>
    <w:rsid w:val="007038BC"/>
    <w:rsid w:val="0070789E"/>
    <w:rsid w:val="00707BE9"/>
    <w:rsid w:val="00720ABF"/>
    <w:rsid w:val="00724D40"/>
    <w:rsid w:val="0072666D"/>
    <w:rsid w:val="007301B5"/>
    <w:rsid w:val="007309B2"/>
    <w:rsid w:val="00732DE3"/>
    <w:rsid w:val="007436E6"/>
    <w:rsid w:val="00745F02"/>
    <w:rsid w:val="00753EA6"/>
    <w:rsid w:val="0076170A"/>
    <w:rsid w:val="00763098"/>
    <w:rsid w:val="0076755D"/>
    <w:rsid w:val="00767706"/>
    <w:rsid w:val="00767B93"/>
    <w:rsid w:val="007705A0"/>
    <w:rsid w:val="00773197"/>
    <w:rsid w:val="00773751"/>
    <w:rsid w:val="00775751"/>
    <w:rsid w:val="0077593E"/>
    <w:rsid w:val="007805AD"/>
    <w:rsid w:val="00783EE3"/>
    <w:rsid w:val="007847D1"/>
    <w:rsid w:val="00785B3A"/>
    <w:rsid w:val="00790231"/>
    <w:rsid w:val="0079316F"/>
    <w:rsid w:val="007A05B8"/>
    <w:rsid w:val="007A1A49"/>
    <w:rsid w:val="007C7235"/>
    <w:rsid w:val="007D4493"/>
    <w:rsid w:val="007D46DE"/>
    <w:rsid w:val="007D52FF"/>
    <w:rsid w:val="007D548E"/>
    <w:rsid w:val="007D66E9"/>
    <w:rsid w:val="007E07A9"/>
    <w:rsid w:val="007E0802"/>
    <w:rsid w:val="007E0981"/>
    <w:rsid w:val="007E41E4"/>
    <w:rsid w:val="007F18F6"/>
    <w:rsid w:val="007F4590"/>
    <w:rsid w:val="007F63B8"/>
    <w:rsid w:val="007F7D7A"/>
    <w:rsid w:val="00801BF0"/>
    <w:rsid w:val="008023CA"/>
    <w:rsid w:val="00802EE2"/>
    <w:rsid w:val="00804ADE"/>
    <w:rsid w:val="00804D8A"/>
    <w:rsid w:val="0081044B"/>
    <w:rsid w:val="00814B2A"/>
    <w:rsid w:val="0081509F"/>
    <w:rsid w:val="00815B5D"/>
    <w:rsid w:val="0081609F"/>
    <w:rsid w:val="00817E3A"/>
    <w:rsid w:val="00820D85"/>
    <w:rsid w:val="0082153B"/>
    <w:rsid w:val="00821D01"/>
    <w:rsid w:val="00822210"/>
    <w:rsid w:val="00822B0B"/>
    <w:rsid w:val="00825B29"/>
    <w:rsid w:val="008267B7"/>
    <w:rsid w:val="00827CBF"/>
    <w:rsid w:val="00836711"/>
    <w:rsid w:val="00843327"/>
    <w:rsid w:val="008460ED"/>
    <w:rsid w:val="0084635C"/>
    <w:rsid w:val="008500D9"/>
    <w:rsid w:val="008509DA"/>
    <w:rsid w:val="00850A99"/>
    <w:rsid w:val="008558EE"/>
    <w:rsid w:val="00857FCA"/>
    <w:rsid w:val="008606B1"/>
    <w:rsid w:val="00862C9A"/>
    <w:rsid w:val="008820B4"/>
    <w:rsid w:val="008949AE"/>
    <w:rsid w:val="008A1265"/>
    <w:rsid w:val="008A18BD"/>
    <w:rsid w:val="008A723A"/>
    <w:rsid w:val="008C4081"/>
    <w:rsid w:val="008C4E4E"/>
    <w:rsid w:val="008C554F"/>
    <w:rsid w:val="008C6627"/>
    <w:rsid w:val="008D24C7"/>
    <w:rsid w:val="008D61E4"/>
    <w:rsid w:val="008D6633"/>
    <w:rsid w:val="008E2068"/>
    <w:rsid w:val="008E2FA2"/>
    <w:rsid w:val="008E4001"/>
    <w:rsid w:val="008E40A9"/>
    <w:rsid w:val="008E6BA3"/>
    <w:rsid w:val="008E7C0B"/>
    <w:rsid w:val="008F6B1C"/>
    <w:rsid w:val="00902433"/>
    <w:rsid w:val="00903AAE"/>
    <w:rsid w:val="0091038F"/>
    <w:rsid w:val="009148A3"/>
    <w:rsid w:val="00914ACF"/>
    <w:rsid w:val="009159DD"/>
    <w:rsid w:val="00917063"/>
    <w:rsid w:val="0092098B"/>
    <w:rsid w:val="009269BE"/>
    <w:rsid w:val="009319F1"/>
    <w:rsid w:val="00933297"/>
    <w:rsid w:val="00937475"/>
    <w:rsid w:val="00945B25"/>
    <w:rsid w:val="0095121F"/>
    <w:rsid w:val="00951DBB"/>
    <w:rsid w:val="009554C3"/>
    <w:rsid w:val="009617FD"/>
    <w:rsid w:val="00970772"/>
    <w:rsid w:val="00977F58"/>
    <w:rsid w:val="0098385B"/>
    <w:rsid w:val="0099265F"/>
    <w:rsid w:val="009930A5"/>
    <w:rsid w:val="0099481C"/>
    <w:rsid w:val="00997E5F"/>
    <w:rsid w:val="009B0523"/>
    <w:rsid w:val="009B1A49"/>
    <w:rsid w:val="009B7CB2"/>
    <w:rsid w:val="009C1FDD"/>
    <w:rsid w:val="009D10E2"/>
    <w:rsid w:val="009D4C76"/>
    <w:rsid w:val="009D5C22"/>
    <w:rsid w:val="009E7D17"/>
    <w:rsid w:val="00A05E04"/>
    <w:rsid w:val="00A10655"/>
    <w:rsid w:val="00A13871"/>
    <w:rsid w:val="00A14A9E"/>
    <w:rsid w:val="00A15D95"/>
    <w:rsid w:val="00A20F12"/>
    <w:rsid w:val="00A213CA"/>
    <w:rsid w:val="00A2214A"/>
    <w:rsid w:val="00A2403E"/>
    <w:rsid w:val="00A25BFA"/>
    <w:rsid w:val="00A275C9"/>
    <w:rsid w:val="00A35631"/>
    <w:rsid w:val="00A52A7F"/>
    <w:rsid w:val="00A67F3E"/>
    <w:rsid w:val="00A828FA"/>
    <w:rsid w:val="00A87A7E"/>
    <w:rsid w:val="00A9170F"/>
    <w:rsid w:val="00A91CB9"/>
    <w:rsid w:val="00A95B62"/>
    <w:rsid w:val="00AA6AE5"/>
    <w:rsid w:val="00AA6D39"/>
    <w:rsid w:val="00AB21C1"/>
    <w:rsid w:val="00AB5E43"/>
    <w:rsid w:val="00AC421E"/>
    <w:rsid w:val="00AD3753"/>
    <w:rsid w:val="00AD6EA5"/>
    <w:rsid w:val="00AE1033"/>
    <w:rsid w:val="00AE21AC"/>
    <w:rsid w:val="00AE4457"/>
    <w:rsid w:val="00AF0513"/>
    <w:rsid w:val="00AF377B"/>
    <w:rsid w:val="00AF5246"/>
    <w:rsid w:val="00AF7E18"/>
    <w:rsid w:val="00B0277D"/>
    <w:rsid w:val="00B0571A"/>
    <w:rsid w:val="00B060C9"/>
    <w:rsid w:val="00B0697D"/>
    <w:rsid w:val="00B075DA"/>
    <w:rsid w:val="00B13852"/>
    <w:rsid w:val="00B14555"/>
    <w:rsid w:val="00B14D89"/>
    <w:rsid w:val="00B3536D"/>
    <w:rsid w:val="00B378B9"/>
    <w:rsid w:val="00B46145"/>
    <w:rsid w:val="00B46C95"/>
    <w:rsid w:val="00B51A4D"/>
    <w:rsid w:val="00B63D9F"/>
    <w:rsid w:val="00B66EA1"/>
    <w:rsid w:val="00B6796C"/>
    <w:rsid w:val="00B70785"/>
    <w:rsid w:val="00B7251F"/>
    <w:rsid w:val="00B72AA4"/>
    <w:rsid w:val="00B73E8D"/>
    <w:rsid w:val="00B77DA0"/>
    <w:rsid w:val="00B818DC"/>
    <w:rsid w:val="00B85889"/>
    <w:rsid w:val="00B865F1"/>
    <w:rsid w:val="00B87285"/>
    <w:rsid w:val="00B912BE"/>
    <w:rsid w:val="00B94EC4"/>
    <w:rsid w:val="00B9765E"/>
    <w:rsid w:val="00BB368B"/>
    <w:rsid w:val="00BB5774"/>
    <w:rsid w:val="00BB756E"/>
    <w:rsid w:val="00BC6EF9"/>
    <w:rsid w:val="00BD204A"/>
    <w:rsid w:val="00BE01B4"/>
    <w:rsid w:val="00BE4ADE"/>
    <w:rsid w:val="00BE51B9"/>
    <w:rsid w:val="00BE7EDA"/>
    <w:rsid w:val="00C14F2E"/>
    <w:rsid w:val="00C1580C"/>
    <w:rsid w:val="00C16EB8"/>
    <w:rsid w:val="00C20B5A"/>
    <w:rsid w:val="00C20C1A"/>
    <w:rsid w:val="00C22F0B"/>
    <w:rsid w:val="00C23215"/>
    <w:rsid w:val="00C233DB"/>
    <w:rsid w:val="00C31C15"/>
    <w:rsid w:val="00C349D5"/>
    <w:rsid w:val="00C40CCF"/>
    <w:rsid w:val="00C44D07"/>
    <w:rsid w:val="00C46018"/>
    <w:rsid w:val="00C47F55"/>
    <w:rsid w:val="00C50E7F"/>
    <w:rsid w:val="00C64747"/>
    <w:rsid w:val="00C664A7"/>
    <w:rsid w:val="00C7310A"/>
    <w:rsid w:val="00C73E7B"/>
    <w:rsid w:val="00C76469"/>
    <w:rsid w:val="00C82114"/>
    <w:rsid w:val="00C90FF7"/>
    <w:rsid w:val="00C9599A"/>
    <w:rsid w:val="00C97FF6"/>
    <w:rsid w:val="00CB529C"/>
    <w:rsid w:val="00CC04A4"/>
    <w:rsid w:val="00CC169E"/>
    <w:rsid w:val="00CC359B"/>
    <w:rsid w:val="00CC5101"/>
    <w:rsid w:val="00CD3A2D"/>
    <w:rsid w:val="00CD4642"/>
    <w:rsid w:val="00CD55B8"/>
    <w:rsid w:val="00CD602A"/>
    <w:rsid w:val="00CE04DF"/>
    <w:rsid w:val="00CE0BB2"/>
    <w:rsid w:val="00CE0DE7"/>
    <w:rsid w:val="00CF50A3"/>
    <w:rsid w:val="00CF5D67"/>
    <w:rsid w:val="00CF671E"/>
    <w:rsid w:val="00D0340B"/>
    <w:rsid w:val="00D05190"/>
    <w:rsid w:val="00D07289"/>
    <w:rsid w:val="00D1239F"/>
    <w:rsid w:val="00D161AB"/>
    <w:rsid w:val="00D16548"/>
    <w:rsid w:val="00D16F61"/>
    <w:rsid w:val="00D20590"/>
    <w:rsid w:val="00D20C59"/>
    <w:rsid w:val="00D22075"/>
    <w:rsid w:val="00D2510C"/>
    <w:rsid w:val="00D27D9D"/>
    <w:rsid w:val="00D31662"/>
    <w:rsid w:val="00D332E1"/>
    <w:rsid w:val="00D42DCD"/>
    <w:rsid w:val="00D43D13"/>
    <w:rsid w:val="00D46D2E"/>
    <w:rsid w:val="00D50642"/>
    <w:rsid w:val="00D51166"/>
    <w:rsid w:val="00D53B4B"/>
    <w:rsid w:val="00D54E0B"/>
    <w:rsid w:val="00D87308"/>
    <w:rsid w:val="00D87950"/>
    <w:rsid w:val="00D91764"/>
    <w:rsid w:val="00D9230D"/>
    <w:rsid w:val="00D94D7D"/>
    <w:rsid w:val="00D96CF1"/>
    <w:rsid w:val="00DB208A"/>
    <w:rsid w:val="00DB4EF8"/>
    <w:rsid w:val="00DB5384"/>
    <w:rsid w:val="00DC3ED2"/>
    <w:rsid w:val="00DC523B"/>
    <w:rsid w:val="00DC61F3"/>
    <w:rsid w:val="00DC7E5C"/>
    <w:rsid w:val="00DD2A3E"/>
    <w:rsid w:val="00DD4C9A"/>
    <w:rsid w:val="00DE12A1"/>
    <w:rsid w:val="00DE2222"/>
    <w:rsid w:val="00DF18BA"/>
    <w:rsid w:val="00DF3F43"/>
    <w:rsid w:val="00E01B93"/>
    <w:rsid w:val="00E05B7A"/>
    <w:rsid w:val="00E05F40"/>
    <w:rsid w:val="00E068D3"/>
    <w:rsid w:val="00E07E18"/>
    <w:rsid w:val="00E16550"/>
    <w:rsid w:val="00E20280"/>
    <w:rsid w:val="00E2114E"/>
    <w:rsid w:val="00E23369"/>
    <w:rsid w:val="00E261DC"/>
    <w:rsid w:val="00E27528"/>
    <w:rsid w:val="00E314D0"/>
    <w:rsid w:val="00E32254"/>
    <w:rsid w:val="00E34E64"/>
    <w:rsid w:val="00E47DCC"/>
    <w:rsid w:val="00E56049"/>
    <w:rsid w:val="00E56D0D"/>
    <w:rsid w:val="00E60198"/>
    <w:rsid w:val="00E670C9"/>
    <w:rsid w:val="00E6751F"/>
    <w:rsid w:val="00E70846"/>
    <w:rsid w:val="00E75E27"/>
    <w:rsid w:val="00E7631A"/>
    <w:rsid w:val="00E83A3E"/>
    <w:rsid w:val="00E84B15"/>
    <w:rsid w:val="00E91D94"/>
    <w:rsid w:val="00E932F3"/>
    <w:rsid w:val="00E94ECE"/>
    <w:rsid w:val="00EA005C"/>
    <w:rsid w:val="00EB0F19"/>
    <w:rsid w:val="00EB1E93"/>
    <w:rsid w:val="00EB74A1"/>
    <w:rsid w:val="00EC70F1"/>
    <w:rsid w:val="00EC7C66"/>
    <w:rsid w:val="00EE67DA"/>
    <w:rsid w:val="00EE7989"/>
    <w:rsid w:val="00EF06C9"/>
    <w:rsid w:val="00EF1F75"/>
    <w:rsid w:val="00F0618D"/>
    <w:rsid w:val="00F11F3E"/>
    <w:rsid w:val="00F130D6"/>
    <w:rsid w:val="00F2797C"/>
    <w:rsid w:val="00F30D00"/>
    <w:rsid w:val="00F32C4F"/>
    <w:rsid w:val="00F4321C"/>
    <w:rsid w:val="00F5399F"/>
    <w:rsid w:val="00F606A5"/>
    <w:rsid w:val="00F626C1"/>
    <w:rsid w:val="00F644B1"/>
    <w:rsid w:val="00F66E29"/>
    <w:rsid w:val="00F675B6"/>
    <w:rsid w:val="00F74BE4"/>
    <w:rsid w:val="00F80D40"/>
    <w:rsid w:val="00F96325"/>
    <w:rsid w:val="00F96F25"/>
    <w:rsid w:val="00FA4A0D"/>
    <w:rsid w:val="00FA60E3"/>
    <w:rsid w:val="00FB70B6"/>
    <w:rsid w:val="00FC0416"/>
    <w:rsid w:val="00FC1E59"/>
    <w:rsid w:val="00FE302A"/>
    <w:rsid w:val="00FE402D"/>
    <w:rsid w:val="00FF788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AE83E"/>
  <w15:docId w15:val="{FC03A8A0-28A7-421B-A472-9DF9455E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6"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rsid w:val="00802EE2"/>
    <w:pPr>
      <w:spacing w:after="0" w:line="240" w:lineRule="auto"/>
    </w:pPr>
    <w:rPr>
      <w:rFonts w:ascii="Times New Roman" w:eastAsia="Times New Roman" w:hAnsi="Times New Roman" w:cs="Times New Roman"/>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ONormal">
    <w:name w:val="SLO Normal"/>
    <w:link w:val="SLONormalChar"/>
    <w:qFormat/>
    <w:rsid w:val="00D20C59"/>
    <w:pPr>
      <w:spacing w:before="120" w:after="120" w:line="240" w:lineRule="auto"/>
      <w:jc w:val="both"/>
    </w:pPr>
    <w:rPr>
      <w:rFonts w:ascii="Times New Roman" w:eastAsia="Times New Roman" w:hAnsi="Times New Roman" w:cs="Times New Roman"/>
      <w:kern w:val="24"/>
      <w:sz w:val="24"/>
      <w:szCs w:val="24"/>
      <w:lang w:val="en-GB"/>
    </w:rPr>
  </w:style>
  <w:style w:type="character" w:customStyle="1" w:styleId="SLONormalChar">
    <w:name w:val="SLO Normal Char"/>
    <w:link w:val="SLONormal"/>
    <w:rsid w:val="00D20C59"/>
    <w:rPr>
      <w:rFonts w:ascii="Times New Roman" w:eastAsia="Times New Roman" w:hAnsi="Times New Roman" w:cs="Times New Roman"/>
      <w:kern w:val="24"/>
      <w:sz w:val="24"/>
      <w:szCs w:val="24"/>
      <w:lang w:val="en-GB"/>
    </w:rPr>
  </w:style>
  <w:style w:type="paragraph" w:styleId="ListParagraph">
    <w:name w:val="List Paragraph"/>
    <w:basedOn w:val="Normal"/>
    <w:uiPriority w:val="34"/>
    <w:qFormat/>
    <w:rsid w:val="00D20C59"/>
    <w:pPr>
      <w:ind w:left="720"/>
      <w:contextualSpacing/>
    </w:pPr>
  </w:style>
  <w:style w:type="character" w:styleId="Hyperlink">
    <w:name w:val="Hyperlink"/>
    <w:basedOn w:val="DefaultParagraphFont"/>
    <w:uiPriority w:val="99"/>
    <w:unhideWhenUsed/>
    <w:rsid w:val="00D20C59"/>
    <w:rPr>
      <w:color w:val="0000FF"/>
      <w:u w:val="single"/>
    </w:rPr>
  </w:style>
  <w:style w:type="paragraph" w:styleId="BalloonText">
    <w:name w:val="Balloon Text"/>
    <w:basedOn w:val="Normal"/>
    <w:link w:val="BalloonTextChar"/>
    <w:uiPriority w:val="99"/>
    <w:semiHidden/>
    <w:unhideWhenUsed/>
    <w:rsid w:val="005528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889"/>
    <w:rPr>
      <w:rFonts w:ascii="Segoe UI" w:eastAsia="Times New Roman" w:hAnsi="Segoe UI" w:cs="Segoe UI"/>
      <w:sz w:val="18"/>
      <w:szCs w:val="18"/>
      <w:lang w:val="et-EE"/>
    </w:rPr>
  </w:style>
  <w:style w:type="paragraph" w:styleId="Header">
    <w:name w:val="header"/>
    <w:basedOn w:val="Normal"/>
    <w:link w:val="HeaderChar"/>
    <w:uiPriority w:val="99"/>
    <w:unhideWhenUsed/>
    <w:rsid w:val="00006EFD"/>
    <w:pPr>
      <w:tabs>
        <w:tab w:val="center" w:pos="4819"/>
        <w:tab w:val="right" w:pos="9638"/>
      </w:tabs>
    </w:pPr>
  </w:style>
  <w:style w:type="character" w:customStyle="1" w:styleId="HeaderChar">
    <w:name w:val="Header Char"/>
    <w:basedOn w:val="DefaultParagraphFont"/>
    <w:link w:val="Header"/>
    <w:uiPriority w:val="99"/>
    <w:rsid w:val="00006EFD"/>
    <w:rPr>
      <w:rFonts w:ascii="Times New Roman" w:eastAsia="Times New Roman" w:hAnsi="Times New Roman" w:cs="Times New Roman"/>
      <w:lang w:val="et-EE"/>
    </w:rPr>
  </w:style>
  <w:style w:type="paragraph" w:styleId="Footer">
    <w:name w:val="footer"/>
    <w:basedOn w:val="Normal"/>
    <w:link w:val="FooterChar"/>
    <w:uiPriority w:val="99"/>
    <w:unhideWhenUsed/>
    <w:rsid w:val="00006EFD"/>
    <w:pPr>
      <w:tabs>
        <w:tab w:val="center" w:pos="4819"/>
        <w:tab w:val="right" w:pos="9638"/>
      </w:tabs>
    </w:pPr>
  </w:style>
  <w:style w:type="character" w:customStyle="1" w:styleId="FooterChar">
    <w:name w:val="Footer Char"/>
    <w:basedOn w:val="DefaultParagraphFont"/>
    <w:link w:val="Footer"/>
    <w:uiPriority w:val="99"/>
    <w:rsid w:val="00006EFD"/>
    <w:rPr>
      <w:rFonts w:ascii="Times New Roman" w:eastAsia="Times New Roman" w:hAnsi="Times New Roman" w:cs="Times New Roman"/>
      <w:lang w:val="et-EE"/>
    </w:rPr>
  </w:style>
  <w:style w:type="character" w:styleId="CommentReference">
    <w:name w:val="annotation reference"/>
    <w:basedOn w:val="DefaultParagraphFont"/>
    <w:uiPriority w:val="99"/>
    <w:semiHidden/>
    <w:unhideWhenUsed/>
    <w:rsid w:val="00CC169E"/>
    <w:rPr>
      <w:sz w:val="16"/>
      <w:szCs w:val="16"/>
    </w:rPr>
  </w:style>
  <w:style w:type="paragraph" w:styleId="CommentText">
    <w:name w:val="annotation text"/>
    <w:basedOn w:val="Normal"/>
    <w:link w:val="CommentTextChar"/>
    <w:uiPriority w:val="99"/>
    <w:semiHidden/>
    <w:unhideWhenUsed/>
    <w:rsid w:val="00CC169E"/>
    <w:rPr>
      <w:sz w:val="20"/>
      <w:szCs w:val="20"/>
    </w:rPr>
  </w:style>
  <w:style w:type="character" w:customStyle="1" w:styleId="CommentTextChar">
    <w:name w:val="Comment Text Char"/>
    <w:basedOn w:val="DefaultParagraphFont"/>
    <w:link w:val="CommentText"/>
    <w:uiPriority w:val="99"/>
    <w:semiHidden/>
    <w:rsid w:val="00CC169E"/>
    <w:rPr>
      <w:rFonts w:ascii="Times New Roman" w:eastAsia="Times New Roman" w:hAnsi="Times New Roman" w:cs="Times New Roman"/>
      <w:sz w:val="20"/>
      <w:szCs w:val="20"/>
      <w:lang w:val="et-EE"/>
    </w:rPr>
  </w:style>
  <w:style w:type="paragraph" w:styleId="NormalWeb">
    <w:name w:val="Normal (Web)"/>
    <w:basedOn w:val="Normal"/>
    <w:uiPriority w:val="99"/>
    <w:rsid w:val="008C4E4E"/>
    <w:pPr>
      <w:spacing w:before="100" w:beforeAutospacing="1" w:after="100" w:afterAutospacing="1"/>
    </w:pPr>
    <w:rPr>
      <w:rFonts w:ascii="Arial Unicode MS" w:eastAsia="Arial Unicode MS" w:hAnsi="Arial Unicode MS" w:cs="Arial Unicode MS"/>
      <w:sz w:val="24"/>
      <w:szCs w:val="24"/>
      <w:lang w:val="en-GB"/>
    </w:rPr>
  </w:style>
  <w:style w:type="paragraph" w:styleId="CommentSubject">
    <w:name w:val="annotation subject"/>
    <w:basedOn w:val="CommentText"/>
    <w:next w:val="CommentText"/>
    <w:link w:val="CommentSubjectChar"/>
    <w:uiPriority w:val="99"/>
    <w:semiHidden/>
    <w:unhideWhenUsed/>
    <w:rsid w:val="00FB70B6"/>
    <w:rPr>
      <w:b/>
      <w:bCs/>
    </w:rPr>
  </w:style>
  <w:style w:type="character" w:customStyle="1" w:styleId="CommentSubjectChar">
    <w:name w:val="Comment Subject Char"/>
    <w:basedOn w:val="CommentTextChar"/>
    <w:link w:val="CommentSubject"/>
    <w:uiPriority w:val="99"/>
    <w:semiHidden/>
    <w:rsid w:val="00FB70B6"/>
    <w:rPr>
      <w:rFonts w:ascii="Times New Roman" w:eastAsia="Times New Roman" w:hAnsi="Times New Roman" w:cs="Times New Roman"/>
      <w:b/>
      <w:bCs/>
      <w:sz w:val="20"/>
      <w:szCs w:val="20"/>
      <w:lang w:val="et-EE"/>
    </w:rPr>
  </w:style>
  <w:style w:type="paragraph" w:styleId="Revision">
    <w:name w:val="Revision"/>
    <w:hidden/>
    <w:uiPriority w:val="99"/>
    <w:semiHidden/>
    <w:rsid w:val="00D43D13"/>
    <w:pPr>
      <w:spacing w:after="0" w:line="240" w:lineRule="auto"/>
    </w:pPr>
    <w:rPr>
      <w:rFonts w:ascii="Times New Roman" w:eastAsia="Times New Roman" w:hAnsi="Times New Roman" w:cs="Times New Roman"/>
      <w:lang w:val="et-EE"/>
    </w:rPr>
  </w:style>
  <w:style w:type="character" w:styleId="UnresolvedMention">
    <w:name w:val="Unresolved Mention"/>
    <w:basedOn w:val="DefaultParagraphFont"/>
    <w:uiPriority w:val="99"/>
    <w:semiHidden/>
    <w:unhideWhenUsed/>
    <w:rsid w:val="00B7251F"/>
    <w:rPr>
      <w:color w:val="605E5C"/>
      <w:shd w:val="clear" w:color="auto" w:fill="E1DFDD"/>
    </w:rPr>
  </w:style>
  <w:style w:type="table" w:styleId="TableGrid">
    <w:name w:val="Table Grid"/>
    <w:basedOn w:val="TableNormal"/>
    <w:uiPriority w:val="39"/>
    <w:rsid w:val="00D31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15896">
      <w:bodyDiv w:val="1"/>
      <w:marLeft w:val="0"/>
      <w:marRight w:val="0"/>
      <w:marTop w:val="0"/>
      <w:marBottom w:val="0"/>
      <w:divBdr>
        <w:top w:val="none" w:sz="0" w:space="0" w:color="auto"/>
        <w:left w:val="none" w:sz="0" w:space="0" w:color="auto"/>
        <w:bottom w:val="none" w:sz="0" w:space="0" w:color="auto"/>
        <w:right w:val="none" w:sz="0" w:space="0" w:color="auto"/>
      </w:divBdr>
      <w:divsChild>
        <w:div w:id="7801993">
          <w:marLeft w:val="0"/>
          <w:marRight w:val="0"/>
          <w:marTop w:val="0"/>
          <w:marBottom w:val="0"/>
          <w:divBdr>
            <w:top w:val="none" w:sz="0" w:space="0" w:color="auto"/>
            <w:left w:val="none" w:sz="0" w:space="0" w:color="auto"/>
            <w:bottom w:val="none" w:sz="0" w:space="0" w:color="auto"/>
            <w:right w:val="none" w:sz="0" w:space="0" w:color="auto"/>
          </w:divBdr>
        </w:div>
        <w:div w:id="263224630">
          <w:marLeft w:val="0"/>
          <w:marRight w:val="0"/>
          <w:marTop w:val="0"/>
          <w:marBottom w:val="0"/>
          <w:divBdr>
            <w:top w:val="none" w:sz="0" w:space="0" w:color="auto"/>
            <w:left w:val="none" w:sz="0" w:space="0" w:color="auto"/>
            <w:bottom w:val="none" w:sz="0" w:space="0" w:color="auto"/>
            <w:right w:val="none" w:sz="0" w:space="0" w:color="auto"/>
          </w:divBdr>
        </w:div>
        <w:div w:id="699086759">
          <w:marLeft w:val="0"/>
          <w:marRight w:val="0"/>
          <w:marTop w:val="0"/>
          <w:marBottom w:val="0"/>
          <w:divBdr>
            <w:top w:val="none" w:sz="0" w:space="0" w:color="auto"/>
            <w:left w:val="none" w:sz="0" w:space="0" w:color="auto"/>
            <w:bottom w:val="none" w:sz="0" w:space="0" w:color="auto"/>
            <w:right w:val="none" w:sz="0" w:space="0" w:color="auto"/>
          </w:divBdr>
        </w:div>
        <w:div w:id="832836954">
          <w:marLeft w:val="0"/>
          <w:marRight w:val="0"/>
          <w:marTop w:val="0"/>
          <w:marBottom w:val="0"/>
          <w:divBdr>
            <w:top w:val="none" w:sz="0" w:space="0" w:color="auto"/>
            <w:left w:val="none" w:sz="0" w:space="0" w:color="auto"/>
            <w:bottom w:val="none" w:sz="0" w:space="0" w:color="auto"/>
            <w:right w:val="none" w:sz="0" w:space="0" w:color="auto"/>
          </w:divBdr>
        </w:div>
        <w:div w:id="1632245729">
          <w:marLeft w:val="0"/>
          <w:marRight w:val="0"/>
          <w:marTop w:val="0"/>
          <w:marBottom w:val="0"/>
          <w:divBdr>
            <w:top w:val="none" w:sz="0" w:space="0" w:color="auto"/>
            <w:left w:val="none" w:sz="0" w:space="0" w:color="auto"/>
            <w:bottom w:val="none" w:sz="0" w:space="0" w:color="auto"/>
            <w:right w:val="none" w:sz="0" w:space="0" w:color="auto"/>
          </w:divBdr>
        </w:div>
      </w:divsChild>
    </w:div>
    <w:div w:id="1717503604">
      <w:bodyDiv w:val="1"/>
      <w:marLeft w:val="0"/>
      <w:marRight w:val="0"/>
      <w:marTop w:val="0"/>
      <w:marBottom w:val="0"/>
      <w:divBdr>
        <w:top w:val="none" w:sz="0" w:space="0" w:color="auto"/>
        <w:left w:val="none" w:sz="0" w:space="0" w:color="auto"/>
        <w:bottom w:val="none" w:sz="0" w:space="0" w:color="auto"/>
        <w:right w:val="none" w:sz="0" w:space="0" w:color="auto"/>
      </w:divBdr>
      <w:divsChild>
        <w:div w:id="921528254">
          <w:marLeft w:val="0"/>
          <w:marRight w:val="0"/>
          <w:marTop w:val="0"/>
          <w:marBottom w:val="0"/>
          <w:divBdr>
            <w:top w:val="none" w:sz="0" w:space="0" w:color="auto"/>
            <w:left w:val="none" w:sz="0" w:space="0" w:color="auto"/>
            <w:bottom w:val="none" w:sz="0" w:space="0" w:color="auto"/>
            <w:right w:val="none" w:sz="0" w:space="0" w:color="auto"/>
          </w:divBdr>
        </w:div>
        <w:div w:id="1743600360">
          <w:marLeft w:val="0"/>
          <w:marRight w:val="0"/>
          <w:marTop w:val="0"/>
          <w:marBottom w:val="0"/>
          <w:divBdr>
            <w:top w:val="none" w:sz="0" w:space="0" w:color="auto"/>
            <w:left w:val="none" w:sz="0" w:space="0" w:color="auto"/>
            <w:bottom w:val="none" w:sz="0" w:space="0" w:color="auto"/>
            <w:right w:val="none" w:sz="0" w:space="0" w:color="auto"/>
          </w:divBdr>
        </w:div>
        <w:div w:id="2125730827">
          <w:marLeft w:val="0"/>
          <w:marRight w:val="0"/>
          <w:marTop w:val="0"/>
          <w:marBottom w:val="0"/>
          <w:divBdr>
            <w:top w:val="none" w:sz="0" w:space="0" w:color="auto"/>
            <w:left w:val="none" w:sz="0" w:space="0" w:color="auto"/>
            <w:bottom w:val="none" w:sz="0" w:space="0" w:color="auto"/>
            <w:right w:val="none" w:sz="0" w:space="0" w:color="auto"/>
          </w:divBdr>
        </w:div>
      </w:divsChild>
    </w:div>
    <w:div w:id="1795827124">
      <w:bodyDiv w:val="1"/>
      <w:marLeft w:val="0"/>
      <w:marRight w:val="0"/>
      <w:marTop w:val="0"/>
      <w:marBottom w:val="0"/>
      <w:divBdr>
        <w:top w:val="none" w:sz="0" w:space="0" w:color="auto"/>
        <w:left w:val="none" w:sz="0" w:space="0" w:color="auto"/>
        <w:bottom w:val="none" w:sz="0" w:space="0" w:color="auto"/>
        <w:right w:val="none" w:sz="0" w:space="0" w:color="auto"/>
      </w:divBdr>
      <w:divsChild>
        <w:div w:id="650671729">
          <w:marLeft w:val="0"/>
          <w:marRight w:val="0"/>
          <w:marTop w:val="0"/>
          <w:marBottom w:val="0"/>
          <w:divBdr>
            <w:top w:val="none" w:sz="0" w:space="0" w:color="auto"/>
            <w:left w:val="none" w:sz="0" w:space="0" w:color="auto"/>
            <w:bottom w:val="none" w:sz="0" w:space="0" w:color="auto"/>
            <w:right w:val="none" w:sz="0" w:space="0" w:color="auto"/>
          </w:divBdr>
        </w:div>
      </w:divsChild>
    </w:div>
    <w:div w:id="2071690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idraudimas.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CBAFE826685B5943811F6D92F6737252" ma:contentTypeVersion="2" ma:contentTypeDescription="Kurkite naują dokumentą." ma:contentTypeScope="" ma:versionID="d6b25d20af5e524ccb9648f92983fd64">
  <xsd:schema xmlns:xsd="http://www.w3.org/2001/XMLSchema" xmlns:xs="http://www.w3.org/2001/XMLSchema" xmlns:p="http://schemas.microsoft.com/office/2006/metadata/properties" xmlns:ns2="4ab84f79-9e9e-4f67-bd28-aa7f9a2c70d3" targetNamespace="http://schemas.microsoft.com/office/2006/metadata/properties" ma:root="true" ma:fieldsID="ec62a35b62c495e659b620207248ef31" ns2:_="">
    <xsd:import namespace="4ab84f79-9e9e-4f67-bd28-aa7f9a2c70d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84f79-9e9e-4f67-bd28-aa7f9a2c7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756A8-EE0E-4BF3-BBC0-43D2B6712C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F4DED7-A7ED-441A-8486-0029E1DBA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b84f79-9e9e-4f67-bd28-aa7f9a2c7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3189F3-C43B-4DBB-89E1-8FB7DE3F5376}">
  <ds:schemaRefs>
    <ds:schemaRef ds:uri="http://schemas.microsoft.com/sharepoint/v3/contenttype/forms"/>
  </ds:schemaRefs>
</ds:datastoreItem>
</file>

<file path=customXml/itemProps4.xml><?xml version="1.0" encoding="utf-8"?>
<ds:datastoreItem xmlns:ds="http://schemas.openxmlformats.org/officeDocument/2006/customXml" ds:itemID="{8CD83DA4-8089-4354-A66B-F617ED92A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3636</Words>
  <Characters>2073</Characters>
  <Application>Microsoft Office Word</Application>
  <DocSecurity>0</DocSecurity>
  <Lines>17</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Robertas Kvietkovskis</dc:creator>
  <cp:keywords/>
  <dc:description/>
  <cp:lastModifiedBy>Eglė Palukaitienė</cp:lastModifiedBy>
  <cp:revision>39</cp:revision>
  <cp:lastPrinted>2017-07-04T06:04:00Z</cp:lastPrinted>
  <dcterms:created xsi:type="dcterms:W3CDTF">2024-11-28T12:55:00Z</dcterms:created>
  <dcterms:modified xsi:type="dcterms:W3CDTF">2024-12-18T11:00:00Z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0x010100CBAFE826685B5943811F6D92F6737252</vt:lpwstr>
  </property>
  <property fmtid="{D5CDD505-2E9C-101B-9397-08002B2CF9AE}" pid="3" name="GrammarlyDocumentId">
    <vt:lpwstr>e873972071405968fd2ffe5ac5cc502c9de79ef9d1f10396634d60da307fc92c</vt:lpwstr>
  </property>
</Properties>
</file>